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2C" w:rsidRPr="00DF6550" w:rsidRDefault="00D01C81" w:rsidP="00D01C81">
      <w:pPr>
        <w:pBdr>
          <w:bottom w:val="single" w:sz="4" w:space="1" w:color="auto"/>
        </w:pBdr>
        <w:spacing w:before="1560" w:after="0" w:line="240" w:lineRule="auto"/>
        <w:jc w:val="center"/>
        <w:rPr>
          <w:rFonts w:ascii="Segoe UI" w:hAnsi="Segoe UI" w:cs="Segoe UI"/>
          <w:b/>
          <w:sz w:val="32"/>
          <w:szCs w:val="36"/>
        </w:rPr>
      </w:pPr>
      <w:r>
        <w:rPr>
          <w:rFonts w:ascii="Segoe UI" w:hAnsi="Segoe UI" w:cs="Segoe UI"/>
          <w:b/>
          <w:sz w:val="32"/>
          <w:szCs w:val="36"/>
        </w:rPr>
        <w:t xml:space="preserve">2015 – 16 </w:t>
      </w:r>
      <w:r w:rsidR="00380F2C" w:rsidRPr="00DF6550">
        <w:rPr>
          <w:rFonts w:ascii="Segoe UI" w:hAnsi="Segoe UI" w:cs="Segoe UI"/>
          <w:b/>
          <w:sz w:val="32"/>
          <w:szCs w:val="36"/>
        </w:rPr>
        <w:t>Pakenham Pastoral Charge</w:t>
      </w:r>
    </w:p>
    <w:p w:rsidR="00380F2C" w:rsidRPr="00DF6550" w:rsidRDefault="00380F2C" w:rsidP="00D01C81">
      <w:pPr>
        <w:spacing w:after="0" w:line="240" w:lineRule="auto"/>
        <w:jc w:val="center"/>
        <w:rPr>
          <w:rFonts w:ascii="Segoe UI" w:hAnsi="Segoe UI" w:cs="Segoe UI"/>
          <w:b/>
          <w:sz w:val="36"/>
          <w:szCs w:val="36"/>
          <w14:shadow w14:blurRad="50800" w14:dist="38100" w14:dir="0" w14:sx="100000" w14:sy="100000" w14:kx="0" w14:ky="0" w14:algn="l">
            <w14:srgbClr w14:val="000000">
              <w14:alpha w14:val="60000"/>
            </w14:srgbClr>
          </w14:shadow>
          <w14:props3d w14:extrusionH="0" w14:contourW="0" w14:prstMaterial="warmMatte">
            <w14:bevelB w14:w="38100" w14:h="38100" w14:prst="circle"/>
          </w14:props3d>
        </w:rPr>
      </w:pPr>
      <w:r w:rsidRPr="00DF6550">
        <w:rPr>
          <w:rFonts w:ascii="Segoe UI" w:hAnsi="Segoe UI" w:cs="Segoe UI"/>
          <w:b/>
          <w:sz w:val="36"/>
          <w:szCs w:val="36"/>
          <w14:shadow w14:blurRad="50800" w14:dist="38100" w14:dir="0" w14:sx="100000" w14:sy="100000" w14:kx="0" w14:ky="0" w14:algn="l">
            <w14:srgbClr w14:val="000000">
              <w14:alpha w14:val="60000"/>
            </w14:srgbClr>
          </w14:shadow>
          <w14:props3d w14:extrusionH="0" w14:contourW="0" w14:prstMaterial="warmMatte">
            <w14:bevelB w14:w="38100" w14:h="38100" w14:prst="circle"/>
          </w14:props3d>
        </w:rPr>
        <w:t>St. Andrew’s and Zion United Churches</w:t>
      </w:r>
    </w:p>
    <w:p w:rsidR="00380F2C" w:rsidRPr="00DF6550" w:rsidRDefault="00D01C81" w:rsidP="002D6EA3">
      <w:pPr>
        <w:spacing w:before="1560" w:after="0" w:line="240" w:lineRule="auto"/>
        <w:jc w:val="center"/>
        <w:rPr>
          <w:rFonts w:ascii="Segoe UI" w:hAnsi="Segoe UI" w:cs="Segoe UI"/>
          <w:b/>
          <w:i/>
          <w:sz w:val="48"/>
          <w:szCs w:val="52"/>
        </w:rPr>
      </w:pPr>
      <w:r>
        <w:rPr>
          <w:rFonts w:ascii="Segoe UI" w:hAnsi="Segoe UI" w:cs="Segoe UI"/>
          <w:b/>
          <w:i/>
          <w:sz w:val="48"/>
          <w:szCs w:val="52"/>
        </w:rPr>
        <w:t xml:space="preserve">2015 - </w:t>
      </w:r>
      <w:r w:rsidR="00380F2C" w:rsidRPr="00DF6550">
        <w:rPr>
          <w:rFonts w:ascii="Segoe UI" w:hAnsi="Segoe UI" w:cs="Segoe UI"/>
          <w:b/>
          <w:i/>
          <w:sz w:val="48"/>
          <w:szCs w:val="52"/>
        </w:rPr>
        <w:t>16</w:t>
      </w:r>
    </w:p>
    <w:p w:rsidR="00380F2C" w:rsidRPr="00DF6550" w:rsidRDefault="00380F2C" w:rsidP="00380F2C">
      <w:pPr>
        <w:spacing w:before="360" w:after="0" w:line="240" w:lineRule="auto"/>
        <w:jc w:val="center"/>
        <w:rPr>
          <w:rFonts w:ascii="Segoe UI" w:hAnsi="Segoe UI" w:cs="Segoe UI"/>
          <w:b/>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pPr>
      <w:r w:rsidRPr="00DF6550">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 xml:space="preserve">Information </w:t>
      </w:r>
      <w:r w:rsidR="00D01C81">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Gathered for</w:t>
      </w:r>
      <w:r w:rsidR="00D01C81">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br/>
      </w:r>
      <w:r w:rsidRPr="00DF6550">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Strategic Planning Purposes</w:t>
      </w:r>
    </w:p>
    <w:p w:rsidR="00ED2A8B" w:rsidRPr="00DF6550" w:rsidRDefault="00D01C81" w:rsidP="00D01C81">
      <w:pPr>
        <w:pageBreakBefore/>
        <w:pBdr>
          <w:bottom w:val="single" w:sz="4" w:space="1" w:color="auto"/>
        </w:pBdr>
        <w:spacing w:before="360" w:after="0" w:line="240" w:lineRule="auto"/>
        <w:jc w:val="center"/>
        <w:rPr>
          <w:rFonts w:ascii="Segoe UI" w:hAnsi="Segoe UI" w:cs="Segoe UI"/>
          <w:b/>
          <w:sz w:val="32"/>
          <w:szCs w:val="36"/>
        </w:rPr>
      </w:pPr>
      <w:r>
        <w:rPr>
          <w:rFonts w:ascii="Segoe UI" w:hAnsi="Segoe UI" w:cs="Segoe UI"/>
          <w:b/>
          <w:sz w:val="32"/>
          <w:szCs w:val="36"/>
        </w:rPr>
        <w:lastRenderedPageBreak/>
        <w:t xml:space="preserve">2015 – 16 </w:t>
      </w:r>
      <w:r w:rsidR="00ED2A8B" w:rsidRPr="00DF6550">
        <w:rPr>
          <w:rFonts w:ascii="Segoe UI" w:hAnsi="Segoe UI" w:cs="Segoe UI"/>
          <w:b/>
          <w:sz w:val="32"/>
          <w:szCs w:val="36"/>
        </w:rPr>
        <w:t>Pakenham Pastoral Charge</w:t>
      </w:r>
    </w:p>
    <w:p w:rsidR="00ED2A8B" w:rsidRPr="00DF6550" w:rsidRDefault="00ED2A8B" w:rsidP="00D01C81">
      <w:pPr>
        <w:spacing w:after="0" w:line="240" w:lineRule="auto"/>
        <w:jc w:val="center"/>
        <w:rPr>
          <w:rFonts w:ascii="Segoe UI" w:hAnsi="Segoe UI" w:cs="Segoe UI"/>
          <w:b/>
          <w:sz w:val="36"/>
          <w:szCs w:val="36"/>
          <w14:shadow w14:blurRad="50800" w14:dist="38100" w14:dir="0" w14:sx="100000" w14:sy="100000" w14:kx="0" w14:ky="0" w14:algn="l">
            <w14:srgbClr w14:val="000000">
              <w14:alpha w14:val="60000"/>
            </w14:srgbClr>
          </w14:shadow>
          <w14:props3d w14:extrusionH="0" w14:contourW="0" w14:prstMaterial="warmMatte">
            <w14:bevelB w14:w="38100" w14:h="38100" w14:prst="circle"/>
          </w14:props3d>
        </w:rPr>
      </w:pPr>
      <w:r w:rsidRPr="00DF6550">
        <w:rPr>
          <w:rFonts w:ascii="Segoe UI" w:hAnsi="Segoe UI" w:cs="Segoe UI"/>
          <w:b/>
          <w:sz w:val="36"/>
          <w:szCs w:val="36"/>
          <w14:shadow w14:blurRad="50800" w14:dist="38100" w14:dir="0" w14:sx="100000" w14:sy="100000" w14:kx="0" w14:ky="0" w14:algn="l">
            <w14:srgbClr w14:val="000000">
              <w14:alpha w14:val="60000"/>
            </w14:srgbClr>
          </w14:shadow>
          <w14:props3d w14:extrusionH="0" w14:contourW="0" w14:prstMaterial="warmMatte">
            <w14:bevelB w14:w="38100" w14:h="38100" w14:prst="circle"/>
          </w14:props3d>
        </w:rPr>
        <w:t>St. Andrew’s and Zion United Churches</w:t>
      </w:r>
    </w:p>
    <w:p w:rsidR="00ED2A8B" w:rsidRPr="00D01C81" w:rsidRDefault="00ED2A8B" w:rsidP="00ED2A8B">
      <w:pPr>
        <w:spacing w:before="360" w:after="0" w:line="240" w:lineRule="auto"/>
        <w:jc w:val="center"/>
        <w:rPr>
          <w:rFonts w:ascii="Segoe UI" w:hAnsi="Segoe UI" w:cs="Segoe UI"/>
          <w:i/>
          <w:sz w:val="36"/>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pPr>
      <w:r w:rsidRPr="00D01C81">
        <w:rPr>
          <w:rFonts w:ascii="Segoe UI" w:hAnsi="Segoe UI" w:cs="Segoe UI"/>
          <w:i/>
          <w:sz w:val="36"/>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 xml:space="preserve">Information </w:t>
      </w:r>
      <w:r w:rsidR="00D01C81">
        <w:rPr>
          <w:rFonts w:ascii="Segoe UI" w:hAnsi="Segoe UI" w:cs="Segoe UI"/>
          <w:i/>
          <w:sz w:val="36"/>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G</w:t>
      </w:r>
      <w:r w:rsidRPr="00D01C81">
        <w:rPr>
          <w:rFonts w:ascii="Segoe UI" w:hAnsi="Segoe UI" w:cs="Segoe UI"/>
          <w:i/>
          <w:sz w:val="36"/>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athered for Strategic Planning Purposes</w:t>
      </w:r>
    </w:p>
    <w:p w:rsidR="00ED2A8B" w:rsidRPr="00DF6550" w:rsidRDefault="00ED2A8B" w:rsidP="00F90449">
      <w:pPr>
        <w:spacing w:before="720" w:after="0" w:line="240" w:lineRule="auto"/>
        <w:jc w:val="center"/>
        <w:rPr>
          <w:rFonts w:ascii="Segoe UI" w:hAnsi="Segoe UI" w:cs="Segoe UI"/>
          <w:b/>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pPr>
      <w:r w:rsidRPr="00DF6550">
        <w:rPr>
          <w:rFonts w:ascii="Segoe UI" w:hAnsi="Segoe UI" w:cs="Segoe UI"/>
          <w:b/>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Table of Contents</w:t>
      </w:r>
    </w:p>
    <w:p w:rsidR="00ED2A8B" w:rsidRPr="00284585" w:rsidRDefault="00ED2A8B" w:rsidP="00F90449">
      <w:pPr>
        <w:tabs>
          <w:tab w:val="right" w:leader="dot" w:pos="9900"/>
        </w:tabs>
        <w:spacing w:before="600" w:after="0" w:line="240" w:lineRule="auto"/>
        <w:rPr>
          <w:rFonts w:ascii="Segoe UI" w:hAnsi="Segoe UI" w:cs="Segoe UI"/>
          <w:b/>
          <w:sz w:val="26"/>
          <w:szCs w:val="26"/>
        </w:rPr>
      </w:pPr>
      <w:r w:rsidRPr="00284585">
        <w:rPr>
          <w:rFonts w:ascii="Segoe UI" w:hAnsi="Segoe UI" w:cs="Segoe UI"/>
          <w:b/>
          <w:sz w:val="26"/>
          <w:szCs w:val="26"/>
        </w:rPr>
        <w:t>Introduction</w:t>
      </w:r>
      <w:r w:rsidRPr="00284585">
        <w:rPr>
          <w:rFonts w:ascii="Segoe UI" w:hAnsi="Segoe UI" w:cs="Segoe UI"/>
          <w:sz w:val="26"/>
          <w:szCs w:val="26"/>
        </w:rPr>
        <w:tab/>
      </w:r>
      <w:r w:rsidR="002D6EA3" w:rsidRPr="00284585">
        <w:rPr>
          <w:rFonts w:ascii="Segoe UI" w:hAnsi="Segoe UI" w:cs="Segoe UI"/>
          <w:b/>
          <w:sz w:val="26"/>
          <w:szCs w:val="26"/>
        </w:rPr>
        <w:t>2</w:t>
      </w:r>
    </w:p>
    <w:p w:rsidR="00ED2A8B" w:rsidRPr="00284585" w:rsidRDefault="00ED2A8B" w:rsidP="00212A91">
      <w:pPr>
        <w:pStyle w:val="ListParagraph"/>
        <w:numPr>
          <w:ilvl w:val="0"/>
          <w:numId w:val="3"/>
        </w:numPr>
        <w:tabs>
          <w:tab w:val="right" w:leader="dot" w:pos="9900"/>
        </w:tabs>
        <w:spacing w:before="240" w:after="0" w:line="240" w:lineRule="auto"/>
        <w:ind w:left="720" w:hanging="720"/>
        <w:rPr>
          <w:rFonts w:ascii="Segoe UI" w:hAnsi="Segoe UI" w:cs="Segoe UI"/>
          <w:b/>
          <w:sz w:val="26"/>
          <w:szCs w:val="26"/>
        </w:rPr>
      </w:pPr>
      <w:r w:rsidRPr="00284585">
        <w:rPr>
          <w:rFonts w:ascii="Segoe UI" w:hAnsi="Segoe UI" w:cs="Segoe UI"/>
          <w:b/>
          <w:sz w:val="26"/>
          <w:szCs w:val="26"/>
        </w:rPr>
        <w:t>Demographics</w:t>
      </w:r>
      <w:r w:rsidRPr="00284585">
        <w:rPr>
          <w:rFonts w:ascii="Segoe UI" w:hAnsi="Segoe UI" w:cs="Segoe UI"/>
          <w:sz w:val="26"/>
          <w:szCs w:val="26"/>
        </w:rPr>
        <w:tab/>
      </w:r>
      <w:r w:rsidR="002D6EA3" w:rsidRPr="00284585">
        <w:rPr>
          <w:rFonts w:ascii="Segoe UI" w:hAnsi="Segoe UI" w:cs="Segoe UI"/>
          <w:b/>
          <w:sz w:val="26"/>
          <w:szCs w:val="26"/>
        </w:rPr>
        <w:t>3</w:t>
      </w:r>
    </w:p>
    <w:p w:rsidR="00ED2A8B" w:rsidRPr="00284585" w:rsidRDefault="00ED2A8B" w:rsidP="002D6EA3">
      <w:pPr>
        <w:pStyle w:val="ListParagraph"/>
        <w:numPr>
          <w:ilvl w:val="1"/>
          <w:numId w:val="3"/>
        </w:numPr>
        <w:tabs>
          <w:tab w:val="right" w:leader="dot" w:pos="9360"/>
        </w:tabs>
        <w:spacing w:before="120" w:after="0" w:line="240" w:lineRule="auto"/>
        <w:ind w:left="1440" w:hanging="720"/>
        <w:contextualSpacing w:val="0"/>
        <w:rPr>
          <w:rFonts w:ascii="Segoe UI" w:hAnsi="Segoe UI" w:cs="Segoe UI"/>
          <w:sz w:val="26"/>
          <w:szCs w:val="26"/>
        </w:rPr>
      </w:pPr>
      <w:r w:rsidRPr="00284585">
        <w:rPr>
          <w:rFonts w:ascii="Segoe UI" w:hAnsi="Segoe UI" w:cs="Segoe UI"/>
          <w:sz w:val="26"/>
          <w:szCs w:val="26"/>
        </w:rPr>
        <w:t>Congregations</w:t>
      </w:r>
      <w:r w:rsidR="00F01841" w:rsidRPr="00284585">
        <w:rPr>
          <w:rFonts w:ascii="Segoe UI" w:hAnsi="Segoe UI" w:cs="Segoe UI"/>
          <w:sz w:val="26"/>
          <w:szCs w:val="26"/>
        </w:rPr>
        <w:tab/>
      </w:r>
      <w:r w:rsidR="002D6EA3" w:rsidRPr="00284585">
        <w:rPr>
          <w:rFonts w:ascii="Segoe UI" w:hAnsi="Segoe UI" w:cs="Segoe UI"/>
          <w:sz w:val="26"/>
          <w:szCs w:val="26"/>
        </w:rPr>
        <w:t>3</w:t>
      </w:r>
    </w:p>
    <w:p w:rsidR="00ED2A8B" w:rsidRPr="00284585" w:rsidRDefault="00ED2A8B" w:rsidP="002D6EA3">
      <w:pPr>
        <w:pStyle w:val="ListParagraph"/>
        <w:numPr>
          <w:ilvl w:val="1"/>
          <w:numId w:val="3"/>
        </w:numPr>
        <w:tabs>
          <w:tab w:val="right" w:leader="dot" w:pos="9360"/>
        </w:tabs>
        <w:spacing w:before="120" w:after="0" w:line="240" w:lineRule="auto"/>
        <w:ind w:left="1440" w:hanging="720"/>
        <w:contextualSpacing w:val="0"/>
        <w:rPr>
          <w:rFonts w:ascii="Segoe UI" w:hAnsi="Segoe UI" w:cs="Segoe UI"/>
          <w:sz w:val="26"/>
          <w:szCs w:val="26"/>
        </w:rPr>
      </w:pPr>
      <w:r w:rsidRPr="00284585">
        <w:rPr>
          <w:rFonts w:ascii="Segoe UI" w:hAnsi="Segoe UI" w:cs="Segoe UI"/>
          <w:sz w:val="26"/>
          <w:szCs w:val="26"/>
        </w:rPr>
        <w:t>Our Wider Community</w:t>
      </w:r>
      <w:r w:rsidRPr="00284585">
        <w:rPr>
          <w:rFonts w:ascii="Segoe UI" w:hAnsi="Segoe UI" w:cs="Segoe UI"/>
          <w:sz w:val="26"/>
          <w:szCs w:val="26"/>
        </w:rPr>
        <w:tab/>
      </w:r>
      <w:r w:rsidR="002D6EA3" w:rsidRPr="00284585">
        <w:rPr>
          <w:rFonts w:ascii="Segoe UI" w:hAnsi="Segoe UI" w:cs="Segoe UI"/>
          <w:sz w:val="26"/>
          <w:szCs w:val="26"/>
        </w:rPr>
        <w:t>4</w:t>
      </w:r>
    </w:p>
    <w:p w:rsidR="00ED2A8B" w:rsidRPr="00284585" w:rsidRDefault="00ED2A8B" w:rsidP="00212A91">
      <w:pPr>
        <w:pStyle w:val="ListParagraph"/>
        <w:numPr>
          <w:ilvl w:val="0"/>
          <w:numId w:val="3"/>
        </w:numPr>
        <w:tabs>
          <w:tab w:val="right" w:leader="dot" w:pos="9900"/>
        </w:tabs>
        <w:spacing w:before="240" w:after="0" w:line="240" w:lineRule="auto"/>
        <w:ind w:left="720" w:hanging="720"/>
        <w:contextualSpacing w:val="0"/>
        <w:rPr>
          <w:rFonts w:ascii="Segoe UI" w:hAnsi="Segoe UI" w:cs="Segoe UI"/>
          <w:b/>
          <w:sz w:val="26"/>
          <w:szCs w:val="26"/>
        </w:rPr>
      </w:pPr>
      <w:r w:rsidRPr="00284585">
        <w:rPr>
          <w:rFonts w:ascii="Segoe UI" w:hAnsi="Segoe UI" w:cs="Segoe UI"/>
          <w:b/>
          <w:sz w:val="26"/>
          <w:szCs w:val="26"/>
        </w:rPr>
        <w:t>Capital Assets</w:t>
      </w:r>
      <w:r w:rsidRPr="00284585">
        <w:rPr>
          <w:rFonts w:ascii="Segoe UI" w:hAnsi="Segoe UI" w:cs="Segoe UI"/>
          <w:sz w:val="26"/>
          <w:szCs w:val="26"/>
        </w:rPr>
        <w:tab/>
      </w:r>
      <w:r w:rsidR="002D6EA3" w:rsidRPr="00284585">
        <w:rPr>
          <w:rFonts w:ascii="Segoe UI" w:hAnsi="Segoe UI" w:cs="Segoe UI"/>
          <w:b/>
          <w:sz w:val="26"/>
          <w:szCs w:val="26"/>
        </w:rPr>
        <w:t>4</w:t>
      </w:r>
    </w:p>
    <w:p w:rsidR="00ED2A8B" w:rsidRPr="00284585" w:rsidRDefault="00F01841" w:rsidP="002D6EA3">
      <w:pPr>
        <w:pStyle w:val="ListParagraph"/>
        <w:numPr>
          <w:ilvl w:val="1"/>
          <w:numId w:val="3"/>
        </w:numPr>
        <w:tabs>
          <w:tab w:val="right" w:leader="dot" w:pos="9360"/>
        </w:tabs>
        <w:spacing w:before="120" w:after="0" w:line="240" w:lineRule="auto"/>
        <w:ind w:left="1440" w:hanging="706"/>
        <w:rPr>
          <w:rFonts w:ascii="Segoe UI" w:hAnsi="Segoe UI" w:cs="Segoe UI"/>
          <w:sz w:val="26"/>
          <w:szCs w:val="26"/>
        </w:rPr>
      </w:pPr>
      <w:r w:rsidRPr="00284585">
        <w:rPr>
          <w:rFonts w:ascii="Segoe UI" w:hAnsi="Segoe UI" w:cs="Segoe UI"/>
          <w:sz w:val="26"/>
          <w:szCs w:val="26"/>
        </w:rPr>
        <w:t>Current Market Value of Buildings</w:t>
      </w:r>
      <w:r w:rsidRPr="00284585">
        <w:rPr>
          <w:rFonts w:ascii="Segoe UI" w:hAnsi="Segoe UI" w:cs="Segoe UI"/>
          <w:sz w:val="26"/>
          <w:szCs w:val="26"/>
        </w:rPr>
        <w:tab/>
      </w:r>
      <w:r w:rsidR="002D6EA3" w:rsidRPr="00284585">
        <w:rPr>
          <w:rFonts w:ascii="Segoe UI" w:hAnsi="Segoe UI" w:cs="Segoe UI"/>
          <w:sz w:val="26"/>
          <w:szCs w:val="26"/>
        </w:rPr>
        <w:t>4</w:t>
      </w:r>
    </w:p>
    <w:p w:rsidR="00F01841" w:rsidRPr="00284585" w:rsidRDefault="00F01841" w:rsidP="002D6EA3">
      <w:pPr>
        <w:pStyle w:val="ListParagraph"/>
        <w:numPr>
          <w:ilvl w:val="1"/>
          <w:numId w:val="3"/>
        </w:numPr>
        <w:tabs>
          <w:tab w:val="right" w:leader="dot" w:pos="9360"/>
        </w:tabs>
        <w:spacing w:before="120" w:after="0" w:line="240" w:lineRule="auto"/>
        <w:ind w:left="1440" w:hanging="706"/>
        <w:rPr>
          <w:rFonts w:ascii="Segoe UI" w:hAnsi="Segoe UI" w:cs="Segoe UI"/>
          <w:sz w:val="26"/>
          <w:szCs w:val="26"/>
        </w:rPr>
      </w:pPr>
      <w:r w:rsidRPr="00284585">
        <w:rPr>
          <w:rFonts w:ascii="Segoe UI" w:hAnsi="Segoe UI" w:cs="Segoe UI"/>
          <w:sz w:val="26"/>
          <w:szCs w:val="26"/>
        </w:rPr>
        <w:t>Building Maintenance and Upgrades</w:t>
      </w:r>
      <w:r w:rsidRPr="00284585">
        <w:rPr>
          <w:rFonts w:ascii="Segoe UI" w:hAnsi="Segoe UI" w:cs="Segoe UI"/>
          <w:sz w:val="26"/>
          <w:szCs w:val="26"/>
        </w:rPr>
        <w:tab/>
      </w:r>
      <w:r w:rsidR="002D6EA3" w:rsidRPr="00284585">
        <w:rPr>
          <w:rFonts w:ascii="Segoe UI" w:hAnsi="Segoe UI" w:cs="Segoe UI"/>
          <w:sz w:val="26"/>
          <w:szCs w:val="26"/>
        </w:rPr>
        <w:t>4</w:t>
      </w:r>
    </w:p>
    <w:p w:rsidR="00F01841" w:rsidRPr="00284585" w:rsidRDefault="00F01841" w:rsidP="002D6EA3">
      <w:pPr>
        <w:pStyle w:val="ListParagraph"/>
        <w:numPr>
          <w:ilvl w:val="1"/>
          <w:numId w:val="3"/>
        </w:numPr>
        <w:tabs>
          <w:tab w:val="right" w:leader="dot" w:pos="9360"/>
        </w:tabs>
        <w:spacing w:before="120" w:after="0" w:line="240" w:lineRule="auto"/>
        <w:ind w:left="1440" w:hanging="706"/>
        <w:rPr>
          <w:rFonts w:ascii="Segoe UI" w:hAnsi="Segoe UI" w:cs="Segoe UI"/>
          <w:sz w:val="26"/>
          <w:szCs w:val="26"/>
        </w:rPr>
      </w:pPr>
      <w:r w:rsidRPr="00284585">
        <w:rPr>
          <w:rFonts w:ascii="Segoe UI" w:hAnsi="Segoe UI" w:cs="Segoe UI"/>
          <w:sz w:val="26"/>
          <w:szCs w:val="26"/>
        </w:rPr>
        <w:t>Congregations’ Trust Funds and Cash on Hand</w:t>
      </w:r>
      <w:r w:rsidRPr="00284585">
        <w:rPr>
          <w:rFonts w:ascii="Segoe UI" w:hAnsi="Segoe UI" w:cs="Segoe UI"/>
          <w:sz w:val="26"/>
          <w:szCs w:val="26"/>
        </w:rPr>
        <w:tab/>
      </w:r>
      <w:r w:rsidR="002D6EA3" w:rsidRPr="00284585">
        <w:rPr>
          <w:rFonts w:ascii="Segoe UI" w:hAnsi="Segoe UI" w:cs="Segoe UI"/>
          <w:sz w:val="26"/>
          <w:szCs w:val="26"/>
        </w:rPr>
        <w:t>4</w:t>
      </w:r>
    </w:p>
    <w:p w:rsidR="00ED2A8B" w:rsidRPr="00284585" w:rsidRDefault="00ED2A8B" w:rsidP="00212A91">
      <w:pPr>
        <w:pStyle w:val="ListParagraph"/>
        <w:numPr>
          <w:ilvl w:val="0"/>
          <w:numId w:val="3"/>
        </w:numPr>
        <w:tabs>
          <w:tab w:val="right" w:leader="dot" w:pos="9900"/>
        </w:tabs>
        <w:spacing w:before="240" w:after="0" w:line="240" w:lineRule="auto"/>
        <w:ind w:left="720" w:hanging="720"/>
        <w:contextualSpacing w:val="0"/>
        <w:rPr>
          <w:rFonts w:ascii="Segoe UI" w:hAnsi="Segoe UI" w:cs="Segoe UI"/>
          <w:b/>
          <w:sz w:val="26"/>
          <w:szCs w:val="26"/>
        </w:rPr>
      </w:pPr>
      <w:r w:rsidRPr="00284585">
        <w:rPr>
          <w:rFonts w:ascii="Segoe UI" w:hAnsi="Segoe UI" w:cs="Segoe UI"/>
          <w:b/>
          <w:sz w:val="26"/>
          <w:szCs w:val="26"/>
        </w:rPr>
        <w:t>Local Finances</w:t>
      </w:r>
      <w:r w:rsidRPr="00284585">
        <w:rPr>
          <w:rFonts w:ascii="Segoe UI" w:hAnsi="Segoe UI" w:cs="Segoe UI"/>
          <w:sz w:val="26"/>
          <w:szCs w:val="26"/>
        </w:rPr>
        <w:tab/>
      </w:r>
      <w:r w:rsidR="002D6EA3" w:rsidRPr="00284585">
        <w:rPr>
          <w:rFonts w:ascii="Segoe UI" w:hAnsi="Segoe UI" w:cs="Segoe UI"/>
          <w:b/>
          <w:sz w:val="26"/>
          <w:szCs w:val="26"/>
        </w:rPr>
        <w:t>5</w:t>
      </w:r>
    </w:p>
    <w:p w:rsidR="00ED2A8B" w:rsidRPr="00284585" w:rsidRDefault="00ED2A8B" w:rsidP="00212A91">
      <w:pPr>
        <w:pStyle w:val="ListParagraph"/>
        <w:numPr>
          <w:ilvl w:val="0"/>
          <w:numId w:val="3"/>
        </w:numPr>
        <w:tabs>
          <w:tab w:val="right" w:leader="dot" w:pos="9900"/>
        </w:tabs>
        <w:spacing w:before="240" w:after="0" w:line="240" w:lineRule="auto"/>
        <w:ind w:left="720" w:hanging="720"/>
        <w:contextualSpacing w:val="0"/>
        <w:rPr>
          <w:rFonts w:ascii="Segoe UI" w:hAnsi="Segoe UI" w:cs="Segoe UI"/>
          <w:b/>
          <w:sz w:val="26"/>
          <w:szCs w:val="26"/>
        </w:rPr>
      </w:pPr>
      <w:r w:rsidRPr="00284585">
        <w:rPr>
          <w:rFonts w:ascii="Segoe UI" w:hAnsi="Segoe UI" w:cs="Segoe UI"/>
          <w:b/>
          <w:sz w:val="26"/>
          <w:szCs w:val="26"/>
        </w:rPr>
        <w:t>Religious Trends in Canada</w:t>
      </w:r>
      <w:r w:rsidRPr="00284585">
        <w:rPr>
          <w:rFonts w:ascii="Segoe UI" w:hAnsi="Segoe UI" w:cs="Segoe UI"/>
          <w:sz w:val="26"/>
          <w:szCs w:val="26"/>
        </w:rPr>
        <w:tab/>
      </w:r>
      <w:r w:rsidR="002D6EA3" w:rsidRPr="00284585">
        <w:rPr>
          <w:rFonts w:ascii="Segoe UI" w:hAnsi="Segoe UI" w:cs="Segoe UI"/>
          <w:b/>
          <w:sz w:val="26"/>
          <w:szCs w:val="26"/>
        </w:rPr>
        <w:t>6</w:t>
      </w:r>
    </w:p>
    <w:p w:rsidR="00ED2A8B" w:rsidRPr="00284585" w:rsidRDefault="00D01C81" w:rsidP="00212A91">
      <w:pPr>
        <w:pStyle w:val="ListParagraph"/>
        <w:numPr>
          <w:ilvl w:val="0"/>
          <w:numId w:val="3"/>
        </w:numPr>
        <w:tabs>
          <w:tab w:val="right" w:leader="dot" w:pos="9900"/>
        </w:tabs>
        <w:spacing w:before="240" w:after="0" w:line="240" w:lineRule="auto"/>
        <w:ind w:left="720" w:hanging="720"/>
        <w:contextualSpacing w:val="0"/>
        <w:rPr>
          <w:rFonts w:ascii="Segoe UI" w:hAnsi="Segoe UI" w:cs="Segoe UI"/>
          <w:b/>
          <w:sz w:val="26"/>
          <w:szCs w:val="26"/>
        </w:rPr>
      </w:pPr>
      <w:r>
        <w:rPr>
          <w:rFonts w:ascii="Segoe UI" w:hAnsi="Segoe UI" w:cs="Segoe UI"/>
          <w:b/>
          <w:sz w:val="26"/>
          <w:szCs w:val="26"/>
        </w:rPr>
        <w:t xml:space="preserve">A Look at Our Ministry </w:t>
      </w:r>
      <w:r w:rsidRPr="00D01C81">
        <w:rPr>
          <w:rFonts w:ascii="Segoe UI" w:hAnsi="Segoe UI" w:cs="Segoe UI"/>
          <w:sz w:val="26"/>
          <w:szCs w:val="26"/>
        </w:rPr>
        <w:t>(r</w:t>
      </w:r>
      <w:r w:rsidR="00ED2A8B" w:rsidRPr="00D01C81">
        <w:rPr>
          <w:rFonts w:ascii="Segoe UI" w:hAnsi="Segoe UI" w:cs="Segoe UI"/>
          <w:sz w:val="26"/>
          <w:szCs w:val="26"/>
        </w:rPr>
        <w:t>ecent past and current reality)</w:t>
      </w:r>
      <w:r w:rsidR="00ED2A8B" w:rsidRPr="00284585">
        <w:rPr>
          <w:rFonts w:ascii="Segoe UI" w:hAnsi="Segoe UI" w:cs="Segoe UI"/>
          <w:sz w:val="26"/>
          <w:szCs w:val="26"/>
        </w:rPr>
        <w:tab/>
      </w:r>
      <w:r w:rsidR="002D6EA3" w:rsidRPr="00284585">
        <w:rPr>
          <w:rFonts w:ascii="Segoe UI" w:hAnsi="Segoe UI" w:cs="Segoe UI"/>
          <w:b/>
          <w:sz w:val="26"/>
          <w:szCs w:val="26"/>
        </w:rPr>
        <w:t>7</w:t>
      </w:r>
    </w:p>
    <w:p w:rsidR="002D6EA3" w:rsidRPr="00284585" w:rsidRDefault="002D6EA3" w:rsidP="002D6EA3">
      <w:pPr>
        <w:tabs>
          <w:tab w:val="right" w:leader="dot" w:pos="9900"/>
        </w:tabs>
        <w:spacing w:before="600" w:after="0" w:line="240" w:lineRule="auto"/>
        <w:rPr>
          <w:rFonts w:ascii="Segoe UI" w:hAnsi="Segoe UI" w:cs="Segoe UI"/>
          <w:b/>
          <w:sz w:val="26"/>
          <w:szCs w:val="26"/>
        </w:rPr>
      </w:pPr>
      <w:r w:rsidRPr="00284585">
        <w:rPr>
          <w:rFonts w:ascii="Segoe UI" w:hAnsi="Segoe UI" w:cs="Segoe UI"/>
          <w:b/>
          <w:sz w:val="26"/>
          <w:szCs w:val="26"/>
        </w:rPr>
        <w:t>Additional Resources</w:t>
      </w:r>
      <w:r w:rsidRPr="00284585">
        <w:rPr>
          <w:rFonts w:ascii="Segoe UI" w:hAnsi="Segoe UI" w:cs="Segoe UI"/>
          <w:sz w:val="26"/>
          <w:szCs w:val="26"/>
        </w:rPr>
        <w:tab/>
      </w:r>
      <w:r w:rsidRPr="00284585">
        <w:rPr>
          <w:rFonts w:ascii="Segoe UI" w:hAnsi="Segoe UI" w:cs="Segoe UI"/>
          <w:b/>
          <w:sz w:val="26"/>
          <w:szCs w:val="26"/>
        </w:rPr>
        <w:t>9</w:t>
      </w:r>
    </w:p>
    <w:p w:rsidR="00ED2A8B" w:rsidRPr="00284585" w:rsidRDefault="00F01841" w:rsidP="00212A91">
      <w:pPr>
        <w:tabs>
          <w:tab w:val="right" w:leader="dot" w:pos="9900"/>
        </w:tabs>
        <w:spacing w:before="480" w:after="0" w:line="240" w:lineRule="auto"/>
        <w:rPr>
          <w:rFonts w:ascii="Segoe UI" w:hAnsi="Segoe UI" w:cs="Segoe UI"/>
          <w:b/>
          <w:sz w:val="26"/>
          <w:szCs w:val="26"/>
        </w:rPr>
      </w:pPr>
      <w:r w:rsidRPr="00284585">
        <w:rPr>
          <w:rFonts w:ascii="Segoe UI" w:hAnsi="Segoe UI" w:cs="Segoe UI"/>
          <w:b/>
          <w:sz w:val="26"/>
          <w:szCs w:val="26"/>
        </w:rPr>
        <w:t>Figures</w:t>
      </w:r>
    </w:p>
    <w:p w:rsidR="00F01841" w:rsidRPr="00284585" w:rsidRDefault="00F01841" w:rsidP="00212A91">
      <w:pPr>
        <w:tabs>
          <w:tab w:val="right" w:leader="dot" w:pos="9900"/>
        </w:tabs>
        <w:spacing w:before="240" w:after="0" w:line="240" w:lineRule="auto"/>
        <w:rPr>
          <w:rFonts w:ascii="Segoe UI" w:hAnsi="Segoe UI" w:cs="Segoe UI"/>
          <w:i/>
          <w:sz w:val="26"/>
          <w:szCs w:val="26"/>
        </w:rPr>
      </w:pPr>
      <w:r w:rsidRPr="00284585">
        <w:rPr>
          <w:rFonts w:ascii="Segoe UI" w:hAnsi="Segoe UI" w:cs="Segoe UI"/>
          <w:i/>
          <w:sz w:val="26"/>
          <w:szCs w:val="26"/>
        </w:rPr>
        <w:t xml:space="preserve">Figure 1: Change in Number of Individuals Who </w:t>
      </w:r>
      <w:r w:rsidR="00B43767" w:rsidRPr="00284585">
        <w:rPr>
          <w:rFonts w:ascii="Segoe UI" w:hAnsi="Segoe UI" w:cs="Segoe UI"/>
          <w:i/>
          <w:sz w:val="26"/>
          <w:szCs w:val="26"/>
        </w:rPr>
        <w:t>Are</w:t>
      </w:r>
      <w:r w:rsidRPr="00284585">
        <w:rPr>
          <w:rFonts w:ascii="Segoe UI" w:hAnsi="Segoe UI" w:cs="Segoe UI"/>
          <w:i/>
          <w:sz w:val="26"/>
          <w:szCs w:val="26"/>
        </w:rPr>
        <w:t xml:space="preserve"> “</w:t>
      </w:r>
      <w:r w:rsidR="00E6471E" w:rsidRPr="00284585">
        <w:rPr>
          <w:rFonts w:ascii="Segoe UI" w:hAnsi="Segoe UI" w:cs="Segoe UI"/>
          <w:i/>
          <w:sz w:val="26"/>
          <w:szCs w:val="26"/>
        </w:rPr>
        <w:t>Identifiable G</w:t>
      </w:r>
      <w:r w:rsidRPr="00284585">
        <w:rPr>
          <w:rFonts w:ascii="Segoe UI" w:hAnsi="Segoe UI" w:cs="Segoe UI"/>
          <w:i/>
          <w:sz w:val="26"/>
          <w:szCs w:val="26"/>
        </w:rPr>
        <w:t>ivers</w:t>
      </w:r>
      <w:r w:rsidR="00E6471E" w:rsidRPr="00284585">
        <w:rPr>
          <w:rFonts w:ascii="Segoe UI" w:hAnsi="Segoe UI" w:cs="Segoe UI"/>
          <w:i/>
          <w:sz w:val="26"/>
          <w:szCs w:val="26"/>
        </w:rPr>
        <w:t>”</w:t>
      </w:r>
      <w:r w:rsidRPr="00284585">
        <w:rPr>
          <w:rFonts w:ascii="Segoe UI" w:hAnsi="Segoe UI" w:cs="Segoe UI"/>
          <w:i/>
          <w:sz w:val="26"/>
          <w:szCs w:val="26"/>
        </w:rPr>
        <w:tab/>
      </w:r>
      <w:r w:rsidR="002D6EA3" w:rsidRPr="00284585">
        <w:rPr>
          <w:rFonts w:ascii="Segoe UI" w:hAnsi="Segoe UI" w:cs="Segoe UI"/>
          <w:i/>
          <w:sz w:val="26"/>
          <w:szCs w:val="26"/>
        </w:rPr>
        <w:t>3</w:t>
      </w:r>
    </w:p>
    <w:p w:rsidR="00F01841" w:rsidRPr="00284585" w:rsidRDefault="00F01841" w:rsidP="00212A91">
      <w:pPr>
        <w:tabs>
          <w:tab w:val="right" w:leader="dot" w:pos="9900"/>
        </w:tabs>
        <w:spacing w:after="0" w:line="240" w:lineRule="auto"/>
        <w:rPr>
          <w:rFonts w:ascii="Segoe UI" w:hAnsi="Segoe UI" w:cs="Segoe UI"/>
          <w:i/>
          <w:sz w:val="26"/>
          <w:szCs w:val="26"/>
        </w:rPr>
      </w:pPr>
      <w:r w:rsidRPr="00284585">
        <w:rPr>
          <w:rFonts w:ascii="Segoe UI" w:hAnsi="Segoe UI" w:cs="Segoe UI"/>
          <w:i/>
          <w:sz w:val="26"/>
          <w:szCs w:val="26"/>
        </w:rPr>
        <w:t>Figure 2: Changes in Age Groups of Identifiable Givers</w:t>
      </w:r>
      <w:r w:rsidR="00D01C81">
        <w:rPr>
          <w:rFonts w:ascii="Segoe UI" w:hAnsi="Segoe UI" w:cs="Segoe UI"/>
          <w:i/>
          <w:sz w:val="26"/>
          <w:szCs w:val="26"/>
        </w:rPr>
        <w:t xml:space="preserve"> - </w:t>
      </w:r>
      <w:r w:rsidR="00E6471E" w:rsidRPr="00284585">
        <w:rPr>
          <w:rFonts w:ascii="Segoe UI" w:hAnsi="Segoe UI" w:cs="Segoe UI"/>
          <w:i/>
          <w:sz w:val="26"/>
          <w:szCs w:val="26"/>
        </w:rPr>
        <w:t>St. Andrew’s</w:t>
      </w:r>
      <w:r w:rsidRPr="00284585">
        <w:rPr>
          <w:rFonts w:ascii="Segoe UI" w:hAnsi="Segoe UI" w:cs="Segoe UI"/>
          <w:i/>
          <w:sz w:val="26"/>
          <w:szCs w:val="26"/>
        </w:rPr>
        <w:tab/>
      </w:r>
      <w:r w:rsidR="002D6EA3" w:rsidRPr="00284585">
        <w:rPr>
          <w:rFonts w:ascii="Segoe UI" w:hAnsi="Segoe UI" w:cs="Segoe UI"/>
          <w:i/>
          <w:sz w:val="26"/>
          <w:szCs w:val="26"/>
        </w:rPr>
        <w:t>3</w:t>
      </w:r>
    </w:p>
    <w:p w:rsidR="00F01841" w:rsidRPr="00284585" w:rsidRDefault="00F01841" w:rsidP="00212A91">
      <w:pPr>
        <w:tabs>
          <w:tab w:val="right" w:leader="dot" w:pos="9900"/>
        </w:tabs>
        <w:spacing w:after="0" w:line="240" w:lineRule="auto"/>
        <w:rPr>
          <w:rFonts w:ascii="Segoe UI" w:hAnsi="Segoe UI" w:cs="Segoe UI"/>
          <w:i/>
          <w:sz w:val="26"/>
          <w:szCs w:val="26"/>
        </w:rPr>
      </w:pPr>
      <w:r w:rsidRPr="00284585">
        <w:rPr>
          <w:rFonts w:ascii="Segoe UI" w:hAnsi="Segoe UI" w:cs="Segoe UI"/>
          <w:i/>
          <w:sz w:val="26"/>
          <w:szCs w:val="26"/>
        </w:rPr>
        <w:t>Figure 3: Changes in Age Groups of Identifiable Givers</w:t>
      </w:r>
      <w:r w:rsidR="00D01C81">
        <w:rPr>
          <w:rFonts w:ascii="Segoe UI" w:hAnsi="Segoe UI" w:cs="Segoe UI"/>
          <w:i/>
          <w:sz w:val="26"/>
          <w:szCs w:val="26"/>
        </w:rPr>
        <w:t xml:space="preserve"> - </w:t>
      </w:r>
      <w:r w:rsidR="00E6471E" w:rsidRPr="00284585">
        <w:rPr>
          <w:rFonts w:ascii="Segoe UI" w:hAnsi="Segoe UI" w:cs="Segoe UI"/>
          <w:i/>
          <w:sz w:val="26"/>
          <w:szCs w:val="26"/>
        </w:rPr>
        <w:t>Zion</w:t>
      </w:r>
      <w:r w:rsidRPr="00284585">
        <w:rPr>
          <w:rFonts w:ascii="Segoe UI" w:hAnsi="Segoe UI" w:cs="Segoe UI"/>
          <w:i/>
          <w:sz w:val="26"/>
          <w:szCs w:val="26"/>
        </w:rPr>
        <w:tab/>
      </w:r>
      <w:r w:rsidR="002D6EA3" w:rsidRPr="00284585">
        <w:rPr>
          <w:rFonts w:ascii="Segoe UI" w:hAnsi="Segoe UI" w:cs="Segoe UI"/>
          <w:i/>
          <w:sz w:val="26"/>
          <w:szCs w:val="26"/>
        </w:rPr>
        <w:t>3</w:t>
      </w:r>
    </w:p>
    <w:p w:rsidR="00212A91" w:rsidRPr="00284585" w:rsidRDefault="00212A91" w:rsidP="002D6EA3">
      <w:pPr>
        <w:tabs>
          <w:tab w:val="right" w:leader="dot" w:pos="9900"/>
          <w:tab w:val="right" w:pos="10080"/>
        </w:tabs>
        <w:spacing w:after="0" w:line="240" w:lineRule="auto"/>
        <w:rPr>
          <w:rFonts w:ascii="Segoe UI" w:hAnsi="Segoe UI" w:cs="Segoe UI"/>
          <w:i/>
          <w:sz w:val="26"/>
          <w:szCs w:val="26"/>
        </w:rPr>
      </w:pPr>
      <w:r w:rsidRPr="00284585">
        <w:rPr>
          <w:rFonts w:ascii="Segoe UI" w:hAnsi="Segoe UI" w:cs="Segoe UI"/>
          <w:i/>
          <w:sz w:val="26"/>
          <w:szCs w:val="26"/>
        </w:rPr>
        <w:t>Figure 4: Reven</w:t>
      </w:r>
      <w:r w:rsidR="00D01C81">
        <w:rPr>
          <w:rFonts w:ascii="Segoe UI" w:hAnsi="Segoe UI" w:cs="Segoe UI"/>
          <w:i/>
          <w:sz w:val="26"/>
          <w:szCs w:val="26"/>
        </w:rPr>
        <w:t>ue, Expense</w:t>
      </w:r>
      <w:r w:rsidR="0062752B">
        <w:rPr>
          <w:rFonts w:ascii="Segoe UI" w:hAnsi="Segoe UI" w:cs="Segoe UI"/>
          <w:i/>
          <w:sz w:val="26"/>
          <w:szCs w:val="26"/>
        </w:rPr>
        <w:t>s and</w:t>
      </w:r>
      <w:r w:rsidR="00D01C81">
        <w:rPr>
          <w:rFonts w:ascii="Segoe UI" w:hAnsi="Segoe UI" w:cs="Segoe UI"/>
          <w:i/>
          <w:sz w:val="26"/>
          <w:szCs w:val="26"/>
        </w:rPr>
        <w:t xml:space="preserve"> Equity 2009 to 2016 - </w:t>
      </w:r>
      <w:r w:rsidRPr="00284585">
        <w:rPr>
          <w:rFonts w:ascii="Segoe UI" w:hAnsi="Segoe UI" w:cs="Segoe UI"/>
          <w:i/>
          <w:sz w:val="26"/>
          <w:szCs w:val="26"/>
        </w:rPr>
        <w:t>St. Andrew’s</w:t>
      </w:r>
      <w:r w:rsidRPr="00284585">
        <w:rPr>
          <w:rFonts w:ascii="Segoe UI" w:hAnsi="Segoe UI" w:cs="Segoe UI"/>
          <w:i/>
          <w:sz w:val="26"/>
          <w:szCs w:val="26"/>
        </w:rPr>
        <w:tab/>
      </w:r>
      <w:r w:rsidR="002D6EA3" w:rsidRPr="00284585">
        <w:rPr>
          <w:rFonts w:ascii="Segoe UI" w:hAnsi="Segoe UI" w:cs="Segoe UI"/>
          <w:i/>
          <w:sz w:val="26"/>
          <w:szCs w:val="26"/>
        </w:rPr>
        <w:t>5</w:t>
      </w:r>
    </w:p>
    <w:p w:rsidR="00212A91" w:rsidRPr="00284585" w:rsidRDefault="002D6EA3" w:rsidP="00212A91">
      <w:pPr>
        <w:tabs>
          <w:tab w:val="right" w:leader="dot" w:pos="9900"/>
        </w:tabs>
        <w:spacing w:after="0" w:line="240" w:lineRule="auto"/>
        <w:rPr>
          <w:rFonts w:ascii="Segoe UI" w:hAnsi="Segoe UI" w:cs="Segoe UI"/>
          <w:i/>
          <w:sz w:val="26"/>
          <w:szCs w:val="26"/>
        </w:rPr>
      </w:pPr>
      <w:r w:rsidRPr="00284585">
        <w:rPr>
          <w:rFonts w:ascii="Segoe UI" w:hAnsi="Segoe UI" w:cs="Segoe UI"/>
          <w:i/>
          <w:sz w:val="26"/>
          <w:szCs w:val="26"/>
        </w:rPr>
        <w:t>Figure 5</w:t>
      </w:r>
      <w:r w:rsidR="00212A91" w:rsidRPr="00284585">
        <w:rPr>
          <w:rFonts w:ascii="Segoe UI" w:hAnsi="Segoe UI" w:cs="Segoe UI"/>
          <w:i/>
          <w:sz w:val="26"/>
          <w:szCs w:val="26"/>
        </w:rPr>
        <w:t>: Reven</w:t>
      </w:r>
      <w:r w:rsidR="00D01C81">
        <w:rPr>
          <w:rFonts w:ascii="Segoe UI" w:hAnsi="Segoe UI" w:cs="Segoe UI"/>
          <w:i/>
          <w:sz w:val="26"/>
          <w:szCs w:val="26"/>
        </w:rPr>
        <w:t xml:space="preserve">ue, Expenses and Equity 2009 to 2015 - </w:t>
      </w:r>
      <w:r w:rsidR="00212A91" w:rsidRPr="00284585">
        <w:rPr>
          <w:rFonts w:ascii="Segoe UI" w:hAnsi="Segoe UI" w:cs="Segoe UI"/>
          <w:i/>
          <w:sz w:val="26"/>
          <w:szCs w:val="26"/>
        </w:rPr>
        <w:t>Zion</w:t>
      </w:r>
      <w:r w:rsidR="00212A91" w:rsidRPr="00284585">
        <w:rPr>
          <w:rFonts w:ascii="Segoe UI" w:hAnsi="Segoe UI" w:cs="Segoe UI"/>
          <w:i/>
          <w:sz w:val="26"/>
          <w:szCs w:val="26"/>
        </w:rPr>
        <w:tab/>
      </w:r>
      <w:r w:rsidRPr="00284585">
        <w:rPr>
          <w:rFonts w:ascii="Segoe UI" w:hAnsi="Segoe UI" w:cs="Segoe UI"/>
          <w:i/>
          <w:sz w:val="26"/>
          <w:szCs w:val="26"/>
        </w:rPr>
        <w:t>6</w:t>
      </w:r>
    </w:p>
    <w:p w:rsidR="00A63672" w:rsidRPr="00DF6550" w:rsidRDefault="00D01C81" w:rsidP="00380F2C">
      <w:pPr>
        <w:pageBreakBefore/>
        <w:pBdr>
          <w:bottom w:val="single" w:sz="4" w:space="1" w:color="808080" w:themeColor="background1" w:themeShade="80"/>
        </w:pBdr>
        <w:spacing w:after="0" w:line="240" w:lineRule="auto"/>
        <w:jc w:val="center"/>
        <w:rPr>
          <w:rFonts w:ascii="Segoe UI" w:hAnsi="Segoe UI" w:cs="Segoe UI"/>
          <w:b/>
          <w:sz w:val="32"/>
          <w:szCs w:val="36"/>
        </w:rPr>
      </w:pPr>
      <w:r>
        <w:rPr>
          <w:rFonts w:ascii="Segoe UI" w:hAnsi="Segoe UI" w:cs="Segoe UI"/>
          <w:b/>
          <w:sz w:val="32"/>
          <w:szCs w:val="36"/>
        </w:rPr>
        <w:lastRenderedPageBreak/>
        <w:t xml:space="preserve">2015 – 16 </w:t>
      </w:r>
      <w:r w:rsidR="00A63672" w:rsidRPr="00DF6550">
        <w:rPr>
          <w:rFonts w:ascii="Segoe UI" w:hAnsi="Segoe UI" w:cs="Segoe UI"/>
          <w:b/>
          <w:sz w:val="32"/>
          <w:szCs w:val="36"/>
        </w:rPr>
        <w:t>Pakenham Pastoral Charge</w:t>
      </w:r>
    </w:p>
    <w:p w:rsidR="004D70B3" w:rsidRPr="00DF6550" w:rsidRDefault="00D01C81" w:rsidP="00A63672">
      <w:pPr>
        <w:spacing w:after="0" w:line="240" w:lineRule="auto"/>
        <w:jc w:val="center"/>
        <w:rPr>
          <w:rFonts w:ascii="Segoe UI" w:hAnsi="Segoe UI" w:cs="Segoe UI"/>
          <w:b/>
          <w:i/>
          <w:sz w:val="32"/>
          <w:szCs w:val="36"/>
        </w:rPr>
      </w:pPr>
      <w:r>
        <w:rPr>
          <w:rFonts w:ascii="Segoe UI" w:hAnsi="Segoe UI" w:cs="Segoe UI"/>
          <w:b/>
          <w:i/>
          <w:sz w:val="32"/>
          <w:szCs w:val="36"/>
        </w:rPr>
        <w:t>Information G</w:t>
      </w:r>
      <w:r w:rsidR="005D4123" w:rsidRPr="00DF6550">
        <w:rPr>
          <w:rFonts w:ascii="Segoe UI" w:hAnsi="Segoe UI" w:cs="Segoe UI"/>
          <w:b/>
          <w:i/>
          <w:sz w:val="32"/>
          <w:szCs w:val="36"/>
        </w:rPr>
        <w:t xml:space="preserve">athered for </w:t>
      </w:r>
      <w:r>
        <w:rPr>
          <w:rFonts w:ascii="Segoe UI" w:hAnsi="Segoe UI" w:cs="Segoe UI"/>
          <w:b/>
          <w:i/>
          <w:sz w:val="32"/>
          <w:szCs w:val="36"/>
        </w:rPr>
        <w:t>Strategic Planning Purposes</w:t>
      </w:r>
    </w:p>
    <w:p w:rsidR="00A63672" w:rsidRPr="00DF6550" w:rsidRDefault="0011080A" w:rsidP="00A43275">
      <w:pPr>
        <w:spacing w:before="480" w:after="0" w:line="240" w:lineRule="auto"/>
        <w:rPr>
          <w:rFonts w:ascii="Segoe UI" w:hAnsi="Segoe UI" w:cs="Segoe UI"/>
          <w:b/>
          <w:sz w:val="28"/>
          <w:szCs w:val="28"/>
        </w:rPr>
      </w:pPr>
      <w:r w:rsidRPr="00DF6550">
        <w:rPr>
          <w:rFonts w:ascii="Segoe UI" w:hAnsi="Segoe UI" w:cs="Segoe UI"/>
          <w:b/>
          <w:sz w:val="28"/>
          <w:szCs w:val="28"/>
        </w:rPr>
        <w:t>Introduction</w:t>
      </w:r>
    </w:p>
    <w:p w:rsidR="00447A5D" w:rsidRPr="00284585" w:rsidRDefault="00E54AA6" w:rsidP="00A6367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The </w:t>
      </w:r>
      <w:r w:rsidR="00447A5D" w:rsidRPr="00284585">
        <w:rPr>
          <w:rFonts w:ascii="Times New Roman" w:hAnsi="Times New Roman" w:cs="Times New Roman"/>
          <w:sz w:val="26"/>
          <w:szCs w:val="26"/>
        </w:rPr>
        <w:t>suggestion for</w:t>
      </w:r>
      <w:r w:rsidRPr="00284585">
        <w:rPr>
          <w:rFonts w:ascii="Times New Roman" w:hAnsi="Times New Roman" w:cs="Times New Roman"/>
          <w:sz w:val="26"/>
          <w:szCs w:val="26"/>
        </w:rPr>
        <w:t xml:space="preserve"> a Strategic Plan emerged at St. Andrew’s and was adopted by the Pastoral Charge at a meeting of its Officia</w:t>
      </w:r>
      <w:r w:rsidR="007171E5" w:rsidRPr="00284585">
        <w:rPr>
          <w:rFonts w:ascii="Times New Roman" w:hAnsi="Times New Roman" w:cs="Times New Roman"/>
          <w:sz w:val="26"/>
          <w:szCs w:val="26"/>
        </w:rPr>
        <w:t>l Board in September of 2015.  The</w:t>
      </w:r>
      <w:r w:rsidRPr="00284585">
        <w:rPr>
          <w:rFonts w:ascii="Times New Roman" w:hAnsi="Times New Roman" w:cs="Times New Roman"/>
          <w:sz w:val="26"/>
          <w:szCs w:val="26"/>
        </w:rPr>
        <w:t xml:space="preserve"> Steering Committee</w:t>
      </w:r>
      <w:r w:rsidR="007171E5" w:rsidRPr="00284585">
        <w:rPr>
          <w:rFonts w:ascii="Times New Roman" w:hAnsi="Times New Roman" w:cs="Times New Roman"/>
          <w:sz w:val="26"/>
          <w:szCs w:val="26"/>
        </w:rPr>
        <w:t>,</w:t>
      </w:r>
      <w:r w:rsidRPr="00284585">
        <w:rPr>
          <w:rFonts w:ascii="Times New Roman" w:hAnsi="Times New Roman" w:cs="Times New Roman"/>
          <w:sz w:val="26"/>
          <w:szCs w:val="26"/>
        </w:rPr>
        <w:t xml:space="preserve"> comprised of Denzil Ferguson, David Wilson, Ray Giles and Jeff de Jonge</w:t>
      </w:r>
      <w:r w:rsidR="007171E5" w:rsidRPr="00284585">
        <w:rPr>
          <w:rFonts w:ascii="Times New Roman" w:hAnsi="Times New Roman" w:cs="Times New Roman"/>
          <w:sz w:val="26"/>
          <w:szCs w:val="26"/>
        </w:rPr>
        <w:t xml:space="preserve">, has </w:t>
      </w:r>
      <w:r w:rsidRPr="00284585">
        <w:rPr>
          <w:rFonts w:ascii="Times New Roman" w:hAnsi="Times New Roman" w:cs="Times New Roman"/>
          <w:sz w:val="26"/>
          <w:szCs w:val="26"/>
        </w:rPr>
        <w:t xml:space="preserve">met regularly </w:t>
      </w:r>
      <w:r w:rsidR="007171E5" w:rsidRPr="00284585">
        <w:rPr>
          <w:rFonts w:ascii="Times New Roman" w:hAnsi="Times New Roman" w:cs="Times New Roman"/>
          <w:sz w:val="26"/>
          <w:szCs w:val="26"/>
        </w:rPr>
        <w:t xml:space="preserve">since October </w:t>
      </w:r>
      <w:r w:rsidR="00447A5D" w:rsidRPr="00284585">
        <w:rPr>
          <w:rFonts w:ascii="Times New Roman" w:hAnsi="Times New Roman" w:cs="Times New Roman"/>
          <w:sz w:val="26"/>
          <w:szCs w:val="26"/>
        </w:rPr>
        <w:t xml:space="preserve">to </w:t>
      </w:r>
      <w:r w:rsidRPr="00284585">
        <w:rPr>
          <w:rFonts w:ascii="Times New Roman" w:hAnsi="Times New Roman" w:cs="Times New Roman"/>
          <w:sz w:val="26"/>
          <w:szCs w:val="26"/>
        </w:rPr>
        <w:t>gather</w:t>
      </w:r>
      <w:r w:rsidR="00447A5D" w:rsidRPr="00284585">
        <w:rPr>
          <w:rFonts w:ascii="Times New Roman" w:hAnsi="Times New Roman" w:cs="Times New Roman"/>
          <w:sz w:val="26"/>
          <w:szCs w:val="26"/>
        </w:rPr>
        <w:t xml:space="preserve"> data and </w:t>
      </w:r>
      <w:r w:rsidRPr="00284585">
        <w:rPr>
          <w:rFonts w:ascii="Times New Roman" w:hAnsi="Times New Roman" w:cs="Times New Roman"/>
          <w:sz w:val="26"/>
          <w:szCs w:val="26"/>
        </w:rPr>
        <w:t>develop a process</w:t>
      </w:r>
      <w:r w:rsidR="00447A5D" w:rsidRPr="00284585">
        <w:rPr>
          <w:rFonts w:ascii="Times New Roman" w:hAnsi="Times New Roman" w:cs="Times New Roman"/>
          <w:sz w:val="26"/>
          <w:szCs w:val="26"/>
        </w:rPr>
        <w:t>.  In November the Official Board approved their recommended process.  An outline of that process along with a covering letter sharing some background was sent out in December to those connected to the St. Andrew’s and Zion United Churches.</w:t>
      </w:r>
    </w:p>
    <w:p w:rsidR="0011080A" w:rsidRPr="00284585" w:rsidRDefault="00447A5D" w:rsidP="00A6367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The hope is that with background information </w:t>
      </w:r>
      <w:r w:rsidR="007171E5" w:rsidRPr="00284585">
        <w:rPr>
          <w:rFonts w:ascii="Times New Roman" w:hAnsi="Times New Roman" w:cs="Times New Roman"/>
          <w:sz w:val="26"/>
          <w:szCs w:val="26"/>
        </w:rPr>
        <w:t xml:space="preserve">provided </w:t>
      </w:r>
      <w:r w:rsidRPr="00284585">
        <w:rPr>
          <w:rFonts w:ascii="Times New Roman" w:hAnsi="Times New Roman" w:cs="Times New Roman"/>
          <w:sz w:val="26"/>
          <w:szCs w:val="26"/>
        </w:rPr>
        <w:t xml:space="preserve">and </w:t>
      </w:r>
      <w:r w:rsidR="007171E5" w:rsidRPr="00284585">
        <w:rPr>
          <w:rFonts w:ascii="Times New Roman" w:hAnsi="Times New Roman" w:cs="Times New Roman"/>
          <w:sz w:val="26"/>
          <w:szCs w:val="26"/>
        </w:rPr>
        <w:t xml:space="preserve">the </w:t>
      </w:r>
      <w:r w:rsidRPr="00284585">
        <w:rPr>
          <w:rFonts w:ascii="Times New Roman" w:hAnsi="Times New Roman" w:cs="Times New Roman"/>
          <w:sz w:val="26"/>
          <w:szCs w:val="26"/>
        </w:rPr>
        <w:t>discussion</w:t>
      </w:r>
      <w:r w:rsidR="007171E5" w:rsidRPr="00284585">
        <w:rPr>
          <w:rFonts w:ascii="Times New Roman" w:hAnsi="Times New Roman" w:cs="Times New Roman"/>
          <w:sz w:val="26"/>
          <w:szCs w:val="26"/>
        </w:rPr>
        <w:t xml:space="preserve"> which follows c</w:t>
      </w:r>
      <w:r w:rsidRPr="00284585">
        <w:rPr>
          <w:rFonts w:ascii="Times New Roman" w:hAnsi="Times New Roman" w:cs="Times New Roman"/>
          <w:sz w:val="26"/>
          <w:szCs w:val="26"/>
        </w:rPr>
        <w:t xml:space="preserve">an </w:t>
      </w:r>
      <w:r w:rsidR="007171E5" w:rsidRPr="00284585">
        <w:rPr>
          <w:rFonts w:ascii="Times New Roman" w:hAnsi="Times New Roman" w:cs="Times New Roman"/>
          <w:sz w:val="26"/>
          <w:szCs w:val="26"/>
        </w:rPr>
        <w:t xml:space="preserve">help us </w:t>
      </w:r>
      <w:r w:rsidR="00E97131" w:rsidRPr="00284585">
        <w:rPr>
          <w:rFonts w:ascii="Times New Roman" w:hAnsi="Times New Roman" w:cs="Times New Roman"/>
          <w:sz w:val="26"/>
          <w:szCs w:val="26"/>
        </w:rPr>
        <w:t>develop a strategic plan</w:t>
      </w:r>
      <w:r w:rsidR="005B45A1" w:rsidRPr="00284585">
        <w:rPr>
          <w:rFonts w:ascii="Times New Roman" w:hAnsi="Times New Roman" w:cs="Times New Roman"/>
          <w:sz w:val="26"/>
          <w:szCs w:val="26"/>
        </w:rPr>
        <w:t xml:space="preserve">.  The Plan would </w:t>
      </w:r>
      <w:r w:rsidR="007171E5" w:rsidRPr="00284585">
        <w:rPr>
          <w:rFonts w:ascii="Times New Roman" w:hAnsi="Times New Roman" w:cs="Times New Roman"/>
          <w:sz w:val="26"/>
          <w:szCs w:val="26"/>
        </w:rPr>
        <w:t>fit the</w:t>
      </w:r>
      <w:r w:rsidR="00E97131" w:rsidRPr="00284585">
        <w:rPr>
          <w:rFonts w:ascii="Times New Roman" w:hAnsi="Times New Roman" w:cs="Times New Roman"/>
          <w:sz w:val="26"/>
          <w:szCs w:val="26"/>
        </w:rPr>
        <w:t xml:space="preserve"> vision </w:t>
      </w:r>
      <w:r w:rsidR="007171E5" w:rsidRPr="00284585">
        <w:rPr>
          <w:rFonts w:ascii="Times New Roman" w:hAnsi="Times New Roman" w:cs="Times New Roman"/>
          <w:sz w:val="26"/>
          <w:szCs w:val="26"/>
        </w:rPr>
        <w:t xml:space="preserve">we have </w:t>
      </w:r>
      <w:r w:rsidR="00E97131" w:rsidRPr="00284585">
        <w:rPr>
          <w:rFonts w:ascii="Times New Roman" w:hAnsi="Times New Roman" w:cs="Times New Roman"/>
          <w:sz w:val="26"/>
          <w:szCs w:val="26"/>
        </w:rPr>
        <w:t xml:space="preserve">for our Churches and enable us to </w:t>
      </w:r>
      <w:r w:rsidRPr="00284585">
        <w:rPr>
          <w:rFonts w:ascii="Times New Roman" w:hAnsi="Times New Roman" w:cs="Times New Roman"/>
          <w:sz w:val="26"/>
          <w:szCs w:val="26"/>
        </w:rPr>
        <w:t>make wise choices with respect to our future.  A great deal of information was collected on demographics, capital assets, finances and religious trends in Canada.  The Steering Committee also thought it important to note our Congregations’ ministry, especially our most recent history (the past 20 years) in o</w:t>
      </w:r>
      <w:r w:rsidR="0074231E" w:rsidRPr="00284585">
        <w:rPr>
          <w:rFonts w:ascii="Times New Roman" w:hAnsi="Times New Roman" w:cs="Times New Roman"/>
          <w:sz w:val="26"/>
          <w:szCs w:val="26"/>
        </w:rPr>
        <w:t>r</w:t>
      </w:r>
      <w:r w:rsidRPr="00284585">
        <w:rPr>
          <w:rFonts w:ascii="Times New Roman" w:hAnsi="Times New Roman" w:cs="Times New Roman"/>
          <w:sz w:val="26"/>
          <w:szCs w:val="26"/>
        </w:rPr>
        <w:t xml:space="preserve">der </w:t>
      </w:r>
      <w:r w:rsidR="0074231E" w:rsidRPr="00284585">
        <w:rPr>
          <w:rFonts w:ascii="Times New Roman" w:hAnsi="Times New Roman" w:cs="Times New Roman"/>
          <w:sz w:val="26"/>
          <w:szCs w:val="26"/>
        </w:rPr>
        <w:t>to accurately appreciate our customary way of being and doing.  What is presented here is a sampling of the information gathered.  More extensive and more detailed information can be made available upon request</w:t>
      </w:r>
      <w:r w:rsidR="007171E5" w:rsidRPr="00284585">
        <w:rPr>
          <w:rFonts w:ascii="Times New Roman" w:hAnsi="Times New Roman" w:cs="Times New Roman"/>
          <w:sz w:val="26"/>
          <w:szCs w:val="26"/>
        </w:rPr>
        <w:t>.  However</w:t>
      </w:r>
      <w:r w:rsidR="0074231E" w:rsidRPr="00284585">
        <w:rPr>
          <w:rFonts w:ascii="Times New Roman" w:hAnsi="Times New Roman" w:cs="Times New Roman"/>
          <w:sz w:val="26"/>
          <w:szCs w:val="26"/>
        </w:rPr>
        <w:t xml:space="preserve">, it was felt that what follows provides sufficient background for discussion and visioning. </w:t>
      </w:r>
    </w:p>
    <w:p w:rsidR="007171E5" w:rsidRPr="00284585" w:rsidRDefault="007171E5" w:rsidP="00A6367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The information which follows </w:t>
      </w:r>
      <w:r w:rsidR="00ED7126" w:rsidRPr="00284585">
        <w:rPr>
          <w:rFonts w:ascii="Times New Roman" w:hAnsi="Times New Roman" w:cs="Times New Roman"/>
          <w:sz w:val="26"/>
          <w:szCs w:val="26"/>
        </w:rPr>
        <w:t xml:space="preserve">is intended </w:t>
      </w:r>
      <w:r w:rsidRPr="00284585">
        <w:rPr>
          <w:rFonts w:ascii="Times New Roman" w:hAnsi="Times New Roman" w:cs="Times New Roman"/>
          <w:sz w:val="26"/>
          <w:szCs w:val="26"/>
        </w:rPr>
        <w:t xml:space="preserve">to provide a context for discussion.  The material does not capture everything about </w:t>
      </w:r>
      <w:r w:rsidR="00066355" w:rsidRPr="00284585">
        <w:rPr>
          <w:rFonts w:ascii="Times New Roman" w:hAnsi="Times New Roman" w:cs="Times New Roman"/>
          <w:sz w:val="26"/>
          <w:szCs w:val="26"/>
        </w:rPr>
        <w:t>who we are,</w:t>
      </w:r>
      <w:r w:rsidR="00ED7126" w:rsidRPr="00284585">
        <w:rPr>
          <w:rFonts w:ascii="Times New Roman" w:hAnsi="Times New Roman" w:cs="Times New Roman"/>
          <w:sz w:val="26"/>
          <w:szCs w:val="26"/>
        </w:rPr>
        <w:t xml:space="preserve"> nor</w:t>
      </w:r>
      <w:r w:rsidR="00066355" w:rsidRPr="00284585">
        <w:rPr>
          <w:rFonts w:ascii="Times New Roman" w:hAnsi="Times New Roman" w:cs="Times New Roman"/>
          <w:sz w:val="26"/>
          <w:szCs w:val="26"/>
        </w:rPr>
        <w:t xml:space="preserve"> about </w:t>
      </w:r>
      <w:r w:rsidRPr="00284585">
        <w:rPr>
          <w:rFonts w:ascii="Times New Roman" w:hAnsi="Times New Roman" w:cs="Times New Roman"/>
          <w:sz w:val="26"/>
          <w:szCs w:val="26"/>
        </w:rPr>
        <w:t>our life and work.  Indeed, what follows</w:t>
      </w:r>
      <w:r w:rsidR="00ED7126" w:rsidRPr="00284585">
        <w:rPr>
          <w:rFonts w:ascii="Times New Roman" w:hAnsi="Times New Roman" w:cs="Times New Roman"/>
          <w:sz w:val="26"/>
          <w:szCs w:val="26"/>
        </w:rPr>
        <w:t>,</w:t>
      </w:r>
      <w:r w:rsidRPr="00284585">
        <w:rPr>
          <w:rFonts w:ascii="Times New Roman" w:hAnsi="Times New Roman" w:cs="Times New Roman"/>
          <w:sz w:val="26"/>
          <w:szCs w:val="26"/>
        </w:rPr>
        <w:t xml:space="preserve"> focus</w:t>
      </w:r>
      <w:r w:rsidR="00ED7126" w:rsidRPr="00284585">
        <w:rPr>
          <w:rFonts w:ascii="Times New Roman" w:hAnsi="Times New Roman" w:cs="Times New Roman"/>
          <w:sz w:val="26"/>
          <w:szCs w:val="26"/>
        </w:rPr>
        <w:t xml:space="preserve">ing as it does </w:t>
      </w:r>
      <w:r w:rsidRPr="00284585">
        <w:rPr>
          <w:rFonts w:ascii="Times New Roman" w:hAnsi="Times New Roman" w:cs="Times New Roman"/>
          <w:sz w:val="26"/>
          <w:szCs w:val="26"/>
        </w:rPr>
        <w:t xml:space="preserve">on factual realities with respect to finances, numbers and resulting trends, </w:t>
      </w:r>
      <w:r w:rsidR="00066355" w:rsidRPr="00284585">
        <w:rPr>
          <w:rFonts w:ascii="Times New Roman" w:hAnsi="Times New Roman" w:cs="Times New Roman"/>
          <w:sz w:val="26"/>
          <w:szCs w:val="26"/>
        </w:rPr>
        <w:t>might a</w:t>
      </w:r>
      <w:r w:rsidRPr="00284585">
        <w:rPr>
          <w:rFonts w:ascii="Times New Roman" w:hAnsi="Times New Roman" w:cs="Times New Roman"/>
          <w:sz w:val="26"/>
          <w:szCs w:val="26"/>
        </w:rPr>
        <w:t xml:space="preserve">ppear </w:t>
      </w:r>
      <w:r w:rsidR="00066355" w:rsidRPr="00284585">
        <w:rPr>
          <w:rFonts w:ascii="Times New Roman" w:hAnsi="Times New Roman" w:cs="Times New Roman"/>
          <w:sz w:val="26"/>
          <w:szCs w:val="26"/>
        </w:rPr>
        <w:t>not only disheartening but cold.  The Steering Committee recognizes that our existence emerges out of our shared faith perspective</w:t>
      </w:r>
      <w:r w:rsidR="00ED7126" w:rsidRPr="00284585">
        <w:rPr>
          <w:rFonts w:ascii="Times New Roman" w:hAnsi="Times New Roman" w:cs="Times New Roman"/>
          <w:sz w:val="26"/>
          <w:szCs w:val="26"/>
        </w:rPr>
        <w:t xml:space="preserve">, our local history and our commitment to God and one another through our congregations.  Indeed, much of our strength is in our individual commitment and the shared community we create.  Each congregation has particular strengths like the Sunday </w:t>
      </w:r>
      <w:proofErr w:type="gramStart"/>
      <w:r w:rsidR="00ED7126" w:rsidRPr="00284585">
        <w:rPr>
          <w:rFonts w:ascii="Times New Roman" w:hAnsi="Times New Roman" w:cs="Times New Roman"/>
          <w:sz w:val="26"/>
          <w:szCs w:val="26"/>
        </w:rPr>
        <w:t>School</w:t>
      </w:r>
      <w:proofErr w:type="gramEnd"/>
      <w:r w:rsidR="00ED7126" w:rsidRPr="00284585">
        <w:rPr>
          <w:rFonts w:ascii="Times New Roman" w:hAnsi="Times New Roman" w:cs="Times New Roman"/>
          <w:sz w:val="26"/>
          <w:szCs w:val="26"/>
        </w:rPr>
        <w:t xml:space="preserve"> at Zion or the music program at St. Andrew’s.  We also have many assets reflected in our buildings, in our communities and in the individuals of each congregation.  While we do not wish to lose sight of these realities, it is important t</w:t>
      </w:r>
      <w:r w:rsidR="00AA3B52" w:rsidRPr="00284585">
        <w:rPr>
          <w:rFonts w:ascii="Times New Roman" w:hAnsi="Times New Roman" w:cs="Times New Roman"/>
          <w:sz w:val="26"/>
          <w:szCs w:val="26"/>
        </w:rPr>
        <w:t xml:space="preserve">hat we </w:t>
      </w:r>
      <w:r w:rsidR="00ED7126" w:rsidRPr="00284585">
        <w:rPr>
          <w:rFonts w:ascii="Times New Roman" w:hAnsi="Times New Roman" w:cs="Times New Roman"/>
          <w:sz w:val="26"/>
          <w:szCs w:val="26"/>
        </w:rPr>
        <w:t>appr</w:t>
      </w:r>
      <w:r w:rsidR="00AA3B52" w:rsidRPr="00284585">
        <w:rPr>
          <w:rFonts w:ascii="Times New Roman" w:hAnsi="Times New Roman" w:cs="Times New Roman"/>
          <w:sz w:val="26"/>
          <w:szCs w:val="26"/>
        </w:rPr>
        <w:t xml:space="preserve">eciate trends and limitations. </w:t>
      </w:r>
    </w:p>
    <w:p w:rsidR="00A63672" w:rsidRPr="00DF6550" w:rsidRDefault="00A63672" w:rsidP="00A43275">
      <w:pPr>
        <w:spacing w:before="480" w:after="0" w:line="240" w:lineRule="auto"/>
        <w:rPr>
          <w:rFonts w:ascii="Segoe UI" w:hAnsi="Segoe UI" w:cs="Segoe UI"/>
          <w:b/>
          <w:sz w:val="28"/>
          <w:szCs w:val="28"/>
        </w:rPr>
      </w:pPr>
      <w:r w:rsidRPr="00DF6550">
        <w:rPr>
          <w:rFonts w:ascii="Segoe UI" w:hAnsi="Segoe UI" w:cs="Segoe UI"/>
          <w:b/>
          <w:sz w:val="28"/>
          <w:szCs w:val="28"/>
        </w:rPr>
        <w:t>Purpose</w:t>
      </w:r>
    </w:p>
    <w:p w:rsidR="008121D7" w:rsidRPr="00A43275" w:rsidRDefault="008121D7" w:rsidP="00A43275">
      <w:pPr>
        <w:spacing w:before="240" w:after="0" w:line="240" w:lineRule="auto"/>
        <w:jc w:val="center"/>
        <w:rPr>
          <w:rFonts w:ascii="Times New Roman" w:hAnsi="Times New Roman" w:cs="Times New Roman"/>
          <w:b/>
          <w:sz w:val="26"/>
          <w:szCs w:val="26"/>
        </w:rPr>
      </w:pPr>
      <w:r w:rsidRPr="00A43275">
        <w:rPr>
          <w:rFonts w:ascii="Times New Roman" w:hAnsi="Times New Roman" w:cs="Times New Roman"/>
          <w:b/>
          <w:sz w:val="26"/>
          <w:szCs w:val="26"/>
        </w:rPr>
        <w:t>To enable Pakenham Pastoral Charge, Zion United (Cedar Hill)</w:t>
      </w:r>
      <w:r w:rsidR="00101CC2" w:rsidRPr="00A43275">
        <w:rPr>
          <w:rFonts w:ascii="Times New Roman" w:hAnsi="Times New Roman" w:cs="Times New Roman"/>
          <w:b/>
          <w:sz w:val="26"/>
          <w:szCs w:val="26"/>
        </w:rPr>
        <w:t xml:space="preserve"> </w:t>
      </w:r>
      <w:r w:rsidRPr="00A43275">
        <w:rPr>
          <w:rFonts w:ascii="Times New Roman" w:hAnsi="Times New Roman" w:cs="Times New Roman"/>
          <w:b/>
          <w:sz w:val="26"/>
          <w:szCs w:val="26"/>
        </w:rPr>
        <w:t>and St. Andrew’s United (Pakenham), to make wise choices about their ministry in the hopes of extending a sustainable and thriving ministry well into the future.</w:t>
      </w:r>
    </w:p>
    <w:p w:rsidR="00B11053" w:rsidRPr="00DF6550" w:rsidRDefault="00B11053" w:rsidP="00DC5797">
      <w:pPr>
        <w:pStyle w:val="ListParagraph"/>
        <w:pageBreakBefore/>
        <w:numPr>
          <w:ilvl w:val="0"/>
          <w:numId w:val="5"/>
        </w:numPr>
        <w:spacing w:after="0" w:line="240" w:lineRule="auto"/>
        <w:rPr>
          <w:rFonts w:ascii="Segoe UI" w:hAnsi="Segoe UI" w:cs="Segoe UI"/>
          <w:b/>
          <w:sz w:val="28"/>
          <w:szCs w:val="28"/>
        </w:rPr>
      </w:pPr>
      <w:r w:rsidRPr="00DF6550">
        <w:rPr>
          <w:rFonts w:ascii="Segoe UI" w:hAnsi="Segoe UI" w:cs="Segoe UI"/>
          <w:b/>
          <w:sz w:val="28"/>
          <w:szCs w:val="28"/>
        </w:rPr>
        <w:lastRenderedPageBreak/>
        <w:t>Demographics</w:t>
      </w:r>
    </w:p>
    <w:p w:rsidR="00B11053" w:rsidRPr="00284585" w:rsidRDefault="00B11053" w:rsidP="00DC5797">
      <w:pPr>
        <w:pStyle w:val="ListParagraph"/>
        <w:numPr>
          <w:ilvl w:val="1"/>
          <w:numId w:val="8"/>
        </w:numPr>
        <w:spacing w:before="240" w:after="0" w:line="240" w:lineRule="auto"/>
        <w:ind w:left="720" w:hanging="720"/>
        <w:contextualSpacing w:val="0"/>
        <w:rPr>
          <w:rFonts w:ascii="Times New Roman" w:hAnsi="Times New Roman" w:cs="Times New Roman"/>
          <w:b/>
          <w:sz w:val="26"/>
          <w:szCs w:val="26"/>
        </w:rPr>
      </w:pPr>
      <w:r w:rsidRPr="00284585">
        <w:rPr>
          <w:rFonts w:ascii="Times New Roman" w:hAnsi="Times New Roman" w:cs="Times New Roman"/>
          <w:b/>
          <w:sz w:val="26"/>
          <w:szCs w:val="26"/>
        </w:rPr>
        <w:t>Congregation</w:t>
      </w:r>
      <w:r w:rsidR="00D8647C" w:rsidRPr="00284585">
        <w:rPr>
          <w:rFonts w:ascii="Times New Roman" w:hAnsi="Times New Roman" w:cs="Times New Roman"/>
          <w:b/>
          <w:sz w:val="26"/>
          <w:szCs w:val="26"/>
        </w:rPr>
        <w:t>s</w:t>
      </w:r>
    </w:p>
    <w:p w:rsidR="00CD122B" w:rsidRPr="00284585" w:rsidRDefault="00A53226" w:rsidP="00DF6550">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Many interesting insights surfaced in t</w:t>
      </w:r>
      <w:r w:rsidR="00B77730" w:rsidRPr="00284585">
        <w:rPr>
          <w:rFonts w:ascii="Times New Roman" w:hAnsi="Times New Roman" w:cs="Times New Roman"/>
          <w:sz w:val="26"/>
          <w:szCs w:val="26"/>
        </w:rPr>
        <w:t>he demographic information</w:t>
      </w:r>
      <w:r w:rsidRPr="00284585">
        <w:rPr>
          <w:rFonts w:ascii="Times New Roman" w:hAnsi="Times New Roman" w:cs="Times New Roman"/>
          <w:sz w:val="26"/>
          <w:szCs w:val="26"/>
        </w:rPr>
        <w:t>.  One concerned attendance.</w:t>
      </w:r>
      <w:r w:rsidR="00B77730" w:rsidRPr="00284585">
        <w:rPr>
          <w:rFonts w:ascii="Times New Roman" w:hAnsi="Times New Roman" w:cs="Times New Roman"/>
          <w:sz w:val="26"/>
          <w:szCs w:val="26"/>
        </w:rPr>
        <w:t xml:space="preserve">  At St. Andrew’</w:t>
      </w:r>
      <w:r w:rsidR="00A00E63" w:rsidRPr="00284585">
        <w:rPr>
          <w:rFonts w:ascii="Times New Roman" w:hAnsi="Times New Roman" w:cs="Times New Roman"/>
          <w:sz w:val="26"/>
          <w:szCs w:val="26"/>
        </w:rPr>
        <w:t xml:space="preserve">s </w:t>
      </w:r>
      <w:r w:rsidR="009A1782" w:rsidRPr="00284585">
        <w:rPr>
          <w:rFonts w:ascii="Times New Roman" w:hAnsi="Times New Roman" w:cs="Times New Roman"/>
          <w:sz w:val="26"/>
          <w:szCs w:val="26"/>
        </w:rPr>
        <w:t xml:space="preserve">with </w:t>
      </w:r>
      <w:r w:rsidR="007B01C7" w:rsidRPr="00284585">
        <w:rPr>
          <w:rFonts w:ascii="Times New Roman" w:hAnsi="Times New Roman" w:cs="Times New Roman"/>
          <w:sz w:val="26"/>
          <w:szCs w:val="26"/>
        </w:rPr>
        <w:t xml:space="preserve">the number of identifiable giving </w:t>
      </w:r>
      <w:r w:rsidR="00FC55F7" w:rsidRPr="00284585">
        <w:rPr>
          <w:rFonts w:ascii="Times New Roman" w:hAnsi="Times New Roman" w:cs="Times New Roman"/>
          <w:sz w:val="26"/>
          <w:szCs w:val="26"/>
        </w:rPr>
        <w:t>individuals</w:t>
      </w:r>
      <w:r w:rsidR="000B387A" w:rsidRPr="00284585">
        <w:rPr>
          <w:rFonts w:ascii="Times New Roman" w:hAnsi="Times New Roman" w:cs="Times New Roman"/>
          <w:sz w:val="26"/>
          <w:szCs w:val="26"/>
        </w:rPr>
        <w:t xml:space="preserve"> </w:t>
      </w:r>
      <w:r w:rsidR="009A1782" w:rsidRPr="00284585">
        <w:rPr>
          <w:rFonts w:ascii="Times New Roman" w:hAnsi="Times New Roman" w:cs="Times New Roman"/>
          <w:sz w:val="26"/>
          <w:szCs w:val="26"/>
        </w:rPr>
        <w:t>remain</w:t>
      </w:r>
      <w:r w:rsidR="00AA3B52" w:rsidRPr="00284585">
        <w:rPr>
          <w:rFonts w:ascii="Times New Roman" w:hAnsi="Times New Roman" w:cs="Times New Roman"/>
          <w:sz w:val="26"/>
          <w:szCs w:val="26"/>
        </w:rPr>
        <w:t>ed</w:t>
      </w:r>
      <w:r w:rsidR="009A1782" w:rsidRPr="00284585">
        <w:rPr>
          <w:rFonts w:ascii="Times New Roman" w:hAnsi="Times New Roman" w:cs="Times New Roman"/>
          <w:sz w:val="26"/>
          <w:szCs w:val="26"/>
        </w:rPr>
        <w:t xml:space="preserve"> almost constant from 2</w:t>
      </w:r>
      <w:r w:rsidR="00A00E63" w:rsidRPr="00284585">
        <w:rPr>
          <w:rFonts w:ascii="Times New Roman" w:hAnsi="Times New Roman" w:cs="Times New Roman"/>
          <w:sz w:val="26"/>
          <w:szCs w:val="26"/>
        </w:rPr>
        <w:t xml:space="preserve">006 </w:t>
      </w:r>
      <w:r w:rsidR="009A1782" w:rsidRPr="00284585">
        <w:rPr>
          <w:rFonts w:ascii="Times New Roman" w:hAnsi="Times New Roman" w:cs="Times New Roman"/>
          <w:sz w:val="26"/>
          <w:szCs w:val="26"/>
        </w:rPr>
        <w:t xml:space="preserve">to 2014, the number who did not attend Sunday Services grew from 47% to </w:t>
      </w:r>
      <w:r w:rsidR="003A6EB4" w:rsidRPr="00284585">
        <w:rPr>
          <w:rFonts w:ascii="Times New Roman" w:hAnsi="Times New Roman" w:cs="Times New Roman"/>
          <w:sz w:val="26"/>
          <w:szCs w:val="26"/>
        </w:rPr>
        <w:t>54%</w:t>
      </w:r>
      <w:r w:rsidR="00A00E63" w:rsidRPr="00284585">
        <w:rPr>
          <w:rFonts w:ascii="Times New Roman" w:hAnsi="Times New Roman" w:cs="Times New Roman"/>
          <w:sz w:val="26"/>
          <w:szCs w:val="26"/>
        </w:rPr>
        <w:t>.  At Zion</w:t>
      </w:r>
      <w:r w:rsidRPr="00284585">
        <w:rPr>
          <w:rFonts w:ascii="Times New Roman" w:hAnsi="Times New Roman" w:cs="Times New Roman"/>
          <w:sz w:val="26"/>
          <w:szCs w:val="26"/>
        </w:rPr>
        <w:t xml:space="preserve"> the trend to support financially but not attend </w:t>
      </w:r>
      <w:r w:rsidR="00417D6E" w:rsidRPr="00284585">
        <w:rPr>
          <w:rFonts w:ascii="Times New Roman" w:hAnsi="Times New Roman" w:cs="Times New Roman"/>
          <w:sz w:val="26"/>
          <w:szCs w:val="26"/>
        </w:rPr>
        <w:t>wa</w:t>
      </w:r>
      <w:r w:rsidRPr="00284585">
        <w:rPr>
          <w:rFonts w:ascii="Times New Roman" w:hAnsi="Times New Roman" w:cs="Times New Roman"/>
          <w:sz w:val="26"/>
          <w:szCs w:val="26"/>
        </w:rPr>
        <w:t>s even more dramatic.  While the number of identifiable giv</w:t>
      </w:r>
      <w:r w:rsidR="00FC55F7" w:rsidRPr="00284585">
        <w:rPr>
          <w:rFonts w:ascii="Times New Roman" w:hAnsi="Times New Roman" w:cs="Times New Roman"/>
          <w:sz w:val="26"/>
          <w:szCs w:val="26"/>
        </w:rPr>
        <w:t>ers</w:t>
      </w:r>
      <w:r w:rsidRPr="00284585">
        <w:rPr>
          <w:rFonts w:ascii="Times New Roman" w:hAnsi="Times New Roman" w:cs="Times New Roman"/>
          <w:sz w:val="26"/>
          <w:szCs w:val="26"/>
        </w:rPr>
        <w:t xml:space="preserve"> has </w:t>
      </w:r>
      <w:r w:rsidR="00FC55F7" w:rsidRPr="00284585">
        <w:rPr>
          <w:rFonts w:ascii="Times New Roman" w:hAnsi="Times New Roman" w:cs="Times New Roman"/>
          <w:sz w:val="26"/>
          <w:szCs w:val="26"/>
        </w:rPr>
        <w:t xml:space="preserve">increased over the time assessed, the </w:t>
      </w:r>
      <w:r w:rsidRPr="00284585">
        <w:rPr>
          <w:rFonts w:ascii="Times New Roman" w:hAnsi="Times New Roman" w:cs="Times New Roman"/>
          <w:sz w:val="26"/>
          <w:szCs w:val="26"/>
        </w:rPr>
        <w:t>percentage of those individuals not attending has risen from 46% in 2006 to 56% in 2014.</w:t>
      </w:r>
      <w:r w:rsidR="00A43275" w:rsidRPr="00284585">
        <w:rPr>
          <w:rStyle w:val="FootnoteReference"/>
          <w:rFonts w:ascii="Times New Roman" w:hAnsi="Times New Roman" w:cs="Times New Roman"/>
          <w:sz w:val="26"/>
          <w:szCs w:val="26"/>
        </w:rPr>
        <w:footnoteReference w:id="1"/>
      </w:r>
      <w:r w:rsidRPr="00284585">
        <w:rPr>
          <w:rFonts w:ascii="Times New Roman" w:hAnsi="Times New Roman" w:cs="Times New Roman"/>
          <w:sz w:val="26"/>
          <w:szCs w:val="26"/>
        </w:rPr>
        <w:t xml:space="preserve">  People continue to support the Churches, but attend </w:t>
      </w:r>
      <w:r w:rsidR="00FC55F7" w:rsidRPr="00284585">
        <w:rPr>
          <w:rFonts w:ascii="Times New Roman" w:hAnsi="Times New Roman" w:cs="Times New Roman"/>
          <w:sz w:val="26"/>
          <w:szCs w:val="26"/>
        </w:rPr>
        <w:t xml:space="preserve">the Sunday morning hour </w:t>
      </w:r>
      <w:r w:rsidRPr="00284585">
        <w:rPr>
          <w:rFonts w:ascii="Times New Roman" w:hAnsi="Times New Roman" w:cs="Times New Roman"/>
          <w:sz w:val="26"/>
          <w:szCs w:val="26"/>
        </w:rPr>
        <w:t xml:space="preserve">less. </w:t>
      </w:r>
    </w:p>
    <w:p w:rsidR="00E97131" w:rsidRPr="00DF6550" w:rsidRDefault="00320F73" w:rsidP="00320F73">
      <w:pPr>
        <w:spacing w:before="120" w:after="0" w:line="240" w:lineRule="auto"/>
        <w:jc w:val="center"/>
        <w:rPr>
          <w:rFonts w:ascii="Times New Roman" w:hAnsi="Times New Roman" w:cs="Times New Roman"/>
          <w:sz w:val="24"/>
          <w:szCs w:val="28"/>
        </w:rPr>
      </w:pPr>
      <w:r>
        <w:rPr>
          <w:noProof/>
          <w:lang w:val="en-US"/>
        </w:rPr>
        <w:drawing>
          <wp:inline distT="0" distB="0" distL="0" distR="0" wp14:anchorId="0C2FD9A5" wp14:editId="52592CA7">
            <wp:extent cx="4333875" cy="2381250"/>
            <wp:effectExtent l="38100" t="38100" r="85725" b="952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0F73" w:rsidRPr="00320F73" w:rsidRDefault="00320F73" w:rsidP="00320F73">
      <w:pPr>
        <w:spacing w:after="240" w:line="240" w:lineRule="auto"/>
        <w:jc w:val="center"/>
        <w:rPr>
          <w:rFonts w:ascii="Times New Roman" w:hAnsi="Times New Roman" w:cs="Times New Roman"/>
          <w:i/>
          <w:sz w:val="24"/>
          <w:szCs w:val="28"/>
        </w:rPr>
      </w:pPr>
      <w:r w:rsidRPr="00320F73">
        <w:rPr>
          <w:rFonts w:ascii="Times New Roman" w:hAnsi="Times New Roman" w:cs="Times New Roman"/>
          <w:i/>
          <w:sz w:val="24"/>
          <w:szCs w:val="28"/>
        </w:rPr>
        <w:t xml:space="preserve">Figure 1: Change in # of Individuals who </w:t>
      </w:r>
      <w:r w:rsidR="00B43767">
        <w:rPr>
          <w:rFonts w:ascii="Times New Roman" w:hAnsi="Times New Roman" w:cs="Times New Roman"/>
          <w:i/>
          <w:sz w:val="24"/>
          <w:szCs w:val="28"/>
        </w:rPr>
        <w:t>are</w:t>
      </w:r>
      <w:r w:rsidRPr="00320F73">
        <w:rPr>
          <w:rFonts w:ascii="Times New Roman" w:hAnsi="Times New Roman" w:cs="Times New Roman"/>
          <w:i/>
          <w:sz w:val="24"/>
          <w:szCs w:val="28"/>
        </w:rPr>
        <w:t xml:space="preserve"> ‘Identifiable Givers’ at St. Andrew’s and Zion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222"/>
        <w:gridCol w:w="4857"/>
      </w:tblGrid>
      <w:tr w:rsidR="00DC5797" w:rsidTr="00320F73">
        <w:tc>
          <w:tcPr>
            <w:tcW w:w="4926" w:type="dxa"/>
          </w:tcPr>
          <w:p w:rsidR="00DC5797" w:rsidRDefault="00320F73" w:rsidP="00DC5797">
            <w:pPr>
              <w:spacing w:before="120"/>
              <w:jc w:val="center"/>
              <w:rPr>
                <w:rFonts w:ascii="Times New Roman" w:hAnsi="Times New Roman" w:cs="Times New Roman"/>
                <w:b/>
                <w:i/>
                <w:sz w:val="24"/>
                <w:szCs w:val="28"/>
              </w:rPr>
            </w:pPr>
            <w:r>
              <w:rPr>
                <w:noProof/>
                <w:lang w:val="en-US"/>
              </w:rPr>
              <w:drawing>
                <wp:inline distT="0" distB="0" distL="0" distR="0" wp14:anchorId="77B38F55" wp14:editId="3E8EAA16">
                  <wp:extent cx="2834640" cy="2743200"/>
                  <wp:effectExtent l="38100" t="38100" r="99060" b="952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5797" w:rsidRPr="00DC5797" w:rsidRDefault="00DC5797" w:rsidP="00320F73">
            <w:pPr>
              <w:spacing w:before="60"/>
              <w:jc w:val="center"/>
              <w:rPr>
                <w:rFonts w:ascii="Times New Roman" w:hAnsi="Times New Roman" w:cs="Times New Roman"/>
                <w:b/>
                <w:i/>
                <w:sz w:val="24"/>
                <w:szCs w:val="28"/>
              </w:rPr>
            </w:pPr>
            <w:r w:rsidRPr="00DC5797">
              <w:rPr>
                <w:rFonts w:ascii="Times New Roman" w:hAnsi="Times New Roman" w:cs="Times New Roman"/>
                <w:i/>
                <w:sz w:val="24"/>
                <w:szCs w:val="28"/>
              </w:rPr>
              <w:t>Figure 2: Change in Age Groups of Identifiable Givers  -  St. Andrew'</w:t>
            </w:r>
          </w:p>
        </w:tc>
        <w:tc>
          <w:tcPr>
            <w:tcW w:w="444" w:type="dxa"/>
          </w:tcPr>
          <w:p w:rsidR="00DC5797" w:rsidRDefault="00DC5797" w:rsidP="00DC5797">
            <w:pPr>
              <w:spacing w:before="120"/>
              <w:jc w:val="center"/>
              <w:rPr>
                <w:rFonts w:ascii="Times New Roman" w:hAnsi="Times New Roman" w:cs="Times New Roman"/>
                <w:b/>
                <w:i/>
                <w:sz w:val="24"/>
                <w:szCs w:val="28"/>
              </w:rPr>
            </w:pPr>
          </w:p>
        </w:tc>
        <w:tc>
          <w:tcPr>
            <w:tcW w:w="4926" w:type="dxa"/>
          </w:tcPr>
          <w:p w:rsidR="00DC5797" w:rsidRDefault="00320F73" w:rsidP="00DC5797">
            <w:pPr>
              <w:spacing w:before="120"/>
              <w:jc w:val="center"/>
              <w:rPr>
                <w:rFonts w:ascii="Times New Roman" w:hAnsi="Times New Roman" w:cs="Times New Roman"/>
                <w:b/>
                <w:i/>
                <w:sz w:val="24"/>
                <w:szCs w:val="28"/>
              </w:rPr>
            </w:pPr>
            <w:r>
              <w:rPr>
                <w:noProof/>
                <w:lang w:val="en-US"/>
              </w:rPr>
              <w:drawing>
                <wp:inline distT="0" distB="0" distL="0" distR="0" wp14:anchorId="7B72D5C4" wp14:editId="6258AF49">
                  <wp:extent cx="2834640" cy="2743200"/>
                  <wp:effectExtent l="38100" t="38100" r="99060" b="952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797" w:rsidRPr="00DC5797" w:rsidRDefault="00DC5797" w:rsidP="00320F73">
            <w:pPr>
              <w:spacing w:before="60"/>
              <w:jc w:val="center"/>
              <w:rPr>
                <w:rFonts w:ascii="Times New Roman" w:hAnsi="Times New Roman" w:cs="Times New Roman"/>
                <w:b/>
                <w:i/>
                <w:sz w:val="24"/>
                <w:szCs w:val="28"/>
              </w:rPr>
            </w:pPr>
            <w:r w:rsidRPr="00DC5797">
              <w:rPr>
                <w:rFonts w:ascii="Times New Roman" w:hAnsi="Times New Roman" w:cs="Times New Roman"/>
                <w:i/>
                <w:sz w:val="24"/>
                <w:szCs w:val="28"/>
              </w:rPr>
              <w:t>Figure 3: Change in Age Groups of Identifiable Givers  -  Zion</w:t>
            </w:r>
          </w:p>
        </w:tc>
      </w:tr>
    </w:tbl>
    <w:p w:rsidR="00B11053" w:rsidRPr="00284585" w:rsidRDefault="00101CC2" w:rsidP="00A43275">
      <w:pPr>
        <w:pStyle w:val="ListParagraph"/>
        <w:numPr>
          <w:ilvl w:val="1"/>
          <w:numId w:val="8"/>
        </w:numPr>
        <w:spacing w:before="120" w:after="0" w:line="240" w:lineRule="auto"/>
        <w:ind w:left="720" w:hanging="720"/>
        <w:rPr>
          <w:rFonts w:ascii="Times New Roman" w:hAnsi="Times New Roman" w:cs="Times New Roman"/>
          <w:b/>
          <w:sz w:val="26"/>
          <w:szCs w:val="26"/>
        </w:rPr>
      </w:pPr>
      <w:r w:rsidRPr="00284585">
        <w:rPr>
          <w:rFonts w:ascii="Times New Roman" w:hAnsi="Times New Roman" w:cs="Times New Roman"/>
          <w:b/>
          <w:sz w:val="26"/>
          <w:szCs w:val="26"/>
        </w:rPr>
        <w:lastRenderedPageBreak/>
        <w:t>Our Wider Community</w:t>
      </w:r>
    </w:p>
    <w:p w:rsidR="00B11053" w:rsidRPr="00284585" w:rsidRDefault="00B11053" w:rsidP="009D1E40">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From 2006 to 2011 there was a 2</w:t>
      </w:r>
      <w:r w:rsidR="00AA3B52" w:rsidRPr="00284585">
        <w:rPr>
          <w:rFonts w:ascii="Times New Roman" w:hAnsi="Times New Roman" w:cs="Times New Roman"/>
          <w:sz w:val="26"/>
          <w:szCs w:val="26"/>
        </w:rPr>
        <w:t>7</w:t>
      </w:r>
      <w:r w:rsidRPr="00284585">
        <w:rPr>
          <w:rFonts w:ascii="Times New Roman" w:hAnsi="Times New Roman" w:cs="Times New Roman"/>
          <w:sz w:val="26"/>
          <w:szCs w:val="26"/>
        </w:rPr>
        <w:t xml:space="preserve"> % increase in the number of seniors in Mississippi Mills.  In that same period the increase </w:t>
      </w:r>
      <w:r w:rsidR="009D1E40" w:rsidRPr="00284585">
        <w:rPr>
          <w:rFonts w:ascii="Times New Roman" w:hAnsi="Times New Roman" w:cs="Times New Roman"/>
          <w:sz w:val="26"/>
          <w:szCs w:val="26"/>
        </w:rPr>
        <w:t>in</w:t>
      </w:r>
      <w:r w:rsidRPr="00284585">
        <w:rPr>
          <w:rFonts w:ascii="Times New Roman" w:hAnsi="Times New Roman" w:cs="Times New Roman"/>
          <w:sz w:val="26"/>
          <w:szCs w:val="26"/>
        </w:rPr>
        <w:t xml:space="preserve"> the</w:t>
      </w:r>
      <w:r w:rsidR="00B43767" w:rsidRPr="00284585">
        <w:rPr>
          <w:rFonts w:ascii="Times New Roman" w:hAnsi="Times New Roman" w:cs="Times New Roman"/>
          <w:sz w:val="26"/>
          <w:szCs w:val="26"/>
        </w:rPr>
        <w:t xml:space="preserve"> </w:t>
      </w:r>
      <w:r w:rsidRPr="00284585">
        <w:rPr>
          <w:rFonts w:ascii="Times New Roman" w:hAnsi="Times New Roman" w:cs="Times New Roman"/>
          <w:sz w:val="26"/>
          <w:szCs w:val="26"/>
        </w:rPr>
        <w:t xml:space="preserve">15 </w:t>
      </w:r>
      <w:r w:rsidR="00AA3B52" w:rsidRPr="00284585">
        <w:rPr>
          <w:rFonts w:ascii="Times New Roman" w:hAnsi="Times New Roman" w:cs="Times New Roman"/>
          <w:sz w:val="26"/>
          <w:szCs w:val="26"/>
        </w:rPr>
        <w:t>to 64 age group was a mere 4%.</w:t>
      </w:r>
    </w:p>
    <w:p w:rsidR="00B11053" w:rsidRPr="00284585" w:rsidRDefault="00B11053" w:rsidP="009D1E40">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While Mississippi Mills as a whole since 2001 has experienced a rapid growth of its senior population (those 65+) </w:t>
      </w:r>
      <w:r w:rsidR="00FC55F7" w:rsidRPr="00284585">
        <w:rPr>
          <w:rFonts w:ascii="Times New Roman" w:hAnsi="Times New Roman" w:cs="Times New Roman"/>
          <w:sz w:val="26"/>
          <w:szCs w:val="26"/>
        </w:rPr>
        <w:t xml:space="preserve">indications are that </w:t>
      </w:r>
      <w:r w:rsidRPr="00284585">
        <w:rPr>
          <w:rFonts w:ascii="Times New Roman" w:hAnsi="Times New Roman" w:cs="Times New Roman"/>
          <w:sz w:val="26"/>
          <w:szCs w:val="26"/>
        </w:rPr>
        <w:t xml:space="preserve">the Ward of Pakenham shows a decline, especially of aging seniors.  In 2011 25.5% of Mississippi Mills’ population was over 65, while Pakenham Ward </w:t>
      </w:r>
      <w:r w:rsidR="00E54AA6" w:rsidRPr="00284585">
        <w:rPr>
          <w:rFonts w:ascii="Times New Roman" w:hAnsi="Times New Roman" w:cs="Times New Roman"/>
          <w:sz w:val="26"/>
          <w:szCs w:val="26"/>
        </w:rPr>
        <w:t>was significantly less than that percentage.</w:t>
      </w:r>
      <w:r w:rsidRPr="00284585">
        <w:rPr>
          <w:rFonts w:ascii="Times New Roman" w:hAnsi="Times New Roman" w:cs="Times New Roman"/>
          <w:sz w:val="26"/>
          <w:szCs w:val="26"/>
        </w:rPr>
        <w:t xml:space="preserve"> </w:t>
      </w:r>
      <w:r w:rsidR="006A5EC1" w:rsidRPr="00284585">
        <w:rPr>
          <w:rFonts w:ascii="Times New Roman" w:hAnsi="Times New Roman" w:cs="Times New Roman"/>
          <w:sz w:val="26"/>
          <w:szCs w:val="26"/>
        </w:rPr>
        <w:t xml:space="preserve"> </w:t>
      </w:r>
      <w:r w:rsidR="00E54AA6" w:rsidRPr="00284585">
        <w:rPr>
          <w:rFonts w:ascii="Times New Roman" w:hAnsi="Times New Roman" w:cs="Times New Roman"/>
          <w:sz w:val="26"/>
          <w:szCs w:val="26"/>
        </w:rPr>
        <w:t>From the 2001 Census data</w:t>
      </w:r>
      <w:r w:rsidR="006A5EC1" w:rsidRPr="00284585">
        <w:rPr>
          <w:rFonts w:ascii="Times New Roman" w:hAnsi="Times New Roman" w:cs="Times New Roman"/>
          <w:sz w:val="26"/>
          <w:szCs w:val="26"/>
        </w:rPr>
        <w:t>, Pakenham Ward’s population of those over 75 drops noticeably and</w:t>
      </w:r>
      <w:r w:rsidR="00E54AA6" w:rsidRPr="00284585">
        <w:rPr>
          <w:rFonts w:ascii="Times New Roman" w:hAnsi="Times New Roman" w:cs="Times New Roman"/>
          <w:sz w:val="26"/>
          <w:szCs w:val="26"/>
        </w:rPr>
        <w:t xml:space="preserve"> becomes miniscule for those over 85</w:t>
      </w:r>
      <w:r w:rsidR="006A5EC1" w:rsidRPr="00284585">
        <w:rPr>
          <w:rFonts w:ascii="Times New Roman" w:hAnsi="Times New Roman" w:cs="Times New Roman"/>
          <w:sz w:val="26"/>
          <w:szCs w:val="26"/>
        </w:rPr>
        <w:t xml:space="preserve">.  </w:t>
      </w:r>
      <w:r w:rsidR="00AA3B52" w:rsidRPr="00284585">
        <w:rPr>
          <w:rFonts w:ascii="Times New Roman" w:hAnsi="Times New Roman" w:cs="Times New Roman"/>
          <w:sz w:val="26"/>
          <w:szCs w:val="26"/>
        </w:rPr>
        <w:t>From this and related information, the Steering Committee feels it i</w:t>
      </w:r>
      <w:r w:rsidRPr="00284585">
        <w:rPr>
          <w:rFonts w:ascii="Times New Roman" w:hAnsi="Times New Roman" w:cs="Times New Roman"/>
          <w:sz w:val="26"/>
          <w:szCs w:val="26"/>
        </w:rPr>
        <w:t>s safe to surmise that residents of the Pakenham area move to larger centers beginning after their retirement and most leave by the time they reach 84.</w:t>
      </w:r>
    </w:p>
    <w:p w:rsidR="00FC55F7" w:rsidRPr="00284585" w:rsidRDefault="00B11053" w:rsidP="009D1E40">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It is projected that the percentage of those over 75 (3% of Canada’s population in 2015) will increase to 12% in 2030.</w:t>
      </w:r>
    </w:p>
    <w:p w:rsidR="00B11053" w:rsidRPr="00A43275" w:rsidRDefault="00A43275" w:rsidP="00FC73D3">
      <w:pPr>
        <w:spacing w:before="240" w:after="0" w:line="240" w:lineRule="auto"/>
        <w:rPr>
          <w:rFonts w:ascii="Segoe UI" w:hAnsi="Segoe UI" w:cs="Segoe UI"/>
          <w:b/>
          <w:sz w:val="28"/>
          <w:szCs w:val="28"/>
        </w:rPr>
      </w:pPr>
      <w:r>
        <w:rPr>
          <w:rFonts w:ascii="Segoe UI" w:hAnsi="Segoe UI" w:cs="Segoe UI"/>
          <w:b/>
          <w:sz w:val="28"/>
          <w:szCs w:val="28"/>
        </w:rPr>
        <w:t>2.0</w:t>
      </w:r>
      <w:r>
        <w:rPr>
          <w:rFonts w:ascii="Segoe UI" w:hAnsi="Segoe UI" w:cs="Segoe UI"/>
          <w:b/>
          <w:sz w:val="28"/>
          <w:szCs w:val="28"/>
        </w:rPr>
        <w:tab/>
      </w:r>
      <w:r w:rsidR="00B11053" w:rsidRPr="00A43275">
        <w:rPr>
          <w:rFonts w:ascii="Segoe UI" w:hAnsi="Segoe UI" w:cs="Segoe UI"/>
          <w:b/>
          <w:sz w:val="28"/>
          <w:szCs w:val="28"/>
        </w:rPr>
        <w:t>Capital</w:t>
      </w:r>
      <w:r w:rsidR="00101CC2" w:rsidRPr="00A43275">
        <w:rPr>
          <w:rFonts w:ascii="Segoe UI" w:hAnsi="Segoe UI" w:cs="Segoe UI"/>
          <w:b/>
          <w:sz w:val="28"/>
          <w:szCs w:val="28"/>
        </w:rPr>
        <w:t xml:space="preserve"> Assets</w:t>
      </w:r>
    </w:p>
    <w:p w:rsidR="00901DEB" w:rsidRPr="00284585" w:rsidRDefault="009D1E40" w:rsidP="00A43275">
      <w:pPr>
        <w:spacing w:before="240" w:after="0" w:line="240" w:lineRule="auto"/>
        <w:rPr>
          <w:rFonts w:ascii="Times New Roman" w:hAnsi="Times New Roman" w:cs="Times New Roman"/>
          <w:b/>
          <w:sz w:val="26"/>
          <w:szCs w:val="26"/>
        </w:rPr>
      </w:pPr>
      <w:r w:rsidRPr="00284585">
        <w:rPr>
          <w:rFonts w:ascii="Times New Roman" w:hAnsi="Times New Roman" w:cs="Times New Roman"/>
          <w:b/>
          <w:sz w:val="26"/>
          <w:szCs w:val="26"/>
        </w:rPr>
        <w:t>2.1</w:t>
      </w:r>
      <w:r w:rsidRPr="00284585">
        <w:rPr>
          <w:rFonts w:ascii="Times New Roman" w:hAnsi="Times New Roman" w:cs="Times New Roman"/>
          <w:b/>
          <w:sz w:val="26"/>
          <w:szCs w:val="26"/>
        </w:rPr>
        <w:tab/>
      </w:r>
      <w:r w:rsidR="00101CC2" w:rsidRPr="00284585">
        <w:rPr>
          <w:rFonts w:ascii="Times New Roman" w:hAnsi="Times New Roman" w:cs="Times New Roman"/>
          <w:b/>
          <w:sz w:val="26"/>
          <w:szCs w:val="26"/>
        </w:rPr>
        <w:t>Current Market Value of Buildings</w:t>
      </w:r>
      <w:r w:rsidR="00A43275" w:rsidRPr="00284585">
        <w:rPr>
          <w:rFonts w:ascii="Times New Roman" w:hAnsi="Times New Roman" w:cs="Times New Roman"/>
          <w:b/>
          <w:sz w:val="26"/>
          <w:szCs w:val="26"/>
        </w:rPr>
        <w:t xml:space="preserve">: </w:t>
      </w:r>
      <w:r w:rsidR="00901DEB" w:rsidRPr="00284585">
        <w:rPr>
          <w:rFonts w:ascii="Times New Roman" w:hAnsi="Times New Roman" w:cs="Times New Roman"/>
          <w:b/>
          <w:sz w:val="26"/>
          <w:szCs w:val="26"/>
        </w:rPr>
        <w:t>St. Andrew’s</w:t>
      </w:r>
      <w:r w:rsidR="0062752B">
        <w:rPr>
          <w:rFonts w:ascii="Times New Roman" w:hAnsi="Times New Roman" w:cs="Times New Roman"/>
          <w:b/>
          <w:sz w:val="26"/>
          <w:szCs w:val="26"/>
        </w:rPr>
        <w:t xml:space="preserve"> - </w:t>
      </w:r>
      <w:r w:rsidR="00CD122B" w:rsidRPr="00284585">
        <w:rPr>
          <w:rFonts w:ascii="Times New Roman" w:hAnsi="Times New Roman" w:cs="Times New Roman"/>
          <w:b/>
          <w:sz w:val="26"/>
          <w:szCs w:val="26"/>
        </w:rPr>
        <w:t>$1,630,000</w:t>
      </w:r>
      <w:r w:rsidR="0062752B">
        <w:rPr>
          <w:rFonts w:ascii="Times New Roman" w:hAnsi="Times New Roman" w:cs="Times New Roman"/>
          <w:b/>
          <w:sz w:val="26"/>
          <w:szCs w:val="26"/>
        </w:rPr>
        <w:t xml:space="preserve">, </w:t>
      </w:r>
      <w:r w:rsidR="00901DEB" w:rsidRPr="00284585">
        <w:rPr>
          <w:rFonts w:ascii="Times New Roman" w:hAnsi="Times New Roman" w:cs="Times New Roman"/>
          <w:b/>
          <w:sz w:val="26"/>
          <w:szCs w:val="26"/>
        </w:rPr>
        <w:t>Zion</w:t>
      </w:r>
      <w:r w:rsidR="0062752B">
        <w:rPr>
          <w:rFonts w:ascii="Times New Roman" w:hAnsi="Times New Roman" w:cs="Times New Roman"/>
          <w:b/>
          <w:sz w:val="26"/>
          <w:szCs w:val="26"/>
        </w:rPr>
        <w:t xml:space="preserve"> - </w:t>
      </w:r>
      <w:r w:rsidR="00250D76" w:rsidRPr="00284585">
        <w:rPr>
          <w:rFonts w:ascii="Times New Roman" w:hAnsi="Times New Roman" w:cs="Times New Roman"/>
          <w:b/>
          <w:sz w:val="26"/>
          <w:szCs w:val="26"/>
        </w:rPr>
        <w:t>$277,000</w:t>
      </w:r>
    </w:p>
    <w:p w:rsidR="00901DEB" w:rsidRPr="00284585" w:rsidRDefault="009D1E40" w:rsidP="00FC73D3">
      <w:pPr>
        <w:spacing w:before="240" w:after="0" w:line="240" w:lineRule="auto"/>
        <w:rPr>
          <w:rFonts w:ascii="Times New Roman" w:hAnsi="Times New Roman" w:cs="Times New Roman"/>
          <w:b/>
          <w:sz w:val="26"/>
          <w:szCs w:val="26"/>
        </w:rPr>
      </w:pPr>
      <w:r w:rsidRPr="00284585">
        <w:rPr>
          <w:rFonts w:ascii="Times New Roman" w:hAnsi="Times New Roman" w:cs="Times New Roman"/>
          <w:b/>
          <w:sz w:val="26"/>
          <w:szCs w:val="26"/>
        </w:rPr>
        <w:t>2.2</w:t>
      </w:r>
      <w:r w:rsidRPr="00284585">
        <w:rPr>
          <w:rFonts w:ascii="Times New Roman" w:hAnsi="Times New Roman" w:cs="Times New Roman"/>
          <w:b/>
          <w:sz w:val="26"/>
          <w:szCs w:val="26"/>
        </w:rPr>
        <w:tab/>
      </w:r>
      <w:r w:rsidR="00901DEB" w:rsidRPr="00284585">
        <w:rPr>
          <w:rFonts w:ascii="Times New Roman" w:hAnsi="Times New Roman" w:cs="Times New Roman"/>
          <w:b/>
          <w:sz w:val="26"/>
          <w:szCs w:val="26"/>
        </w:rPr>
        <w:t>Building Maintenance &amp; Upgrades</w:t>
      </w:r>
    </w:p>
    <w:p w:rsidR="00B11053" w:rsidRPr="00284585" w:rsidRDefault="002953CB" w:rsidP="009D1E40">
      <w:pPr>
        <w:spacing w:after="0" w:line="240" w:lineRule="auto"/>
        <w:ind w:left="720"/>
        <w:rPr>
          <w:rFonts w:ascii="Times New Roman" w:hAnsi="Times New Roman" w:cs="Times New Roman"/>
          <w:i/>
          <w:sz w:val="26"/>
          <w:szCs w:val="26"/>
        </w:rPr>
      </w:pPr>
      <w:r w:rsidRPr="00284585">
        <w:rPr>
          <w:rFonts w:ascii="Times New Roman" w:hAnsi="Times New Roman" w:cs="Times New Roman"/>
          <w:i/>
          <w:sz w:val="26"/>
          <w:szCs w:val="26"/>
        </w:rPr>
        <w:t>(2</w:t>
      </w:r>
      <w:r w:rsidR="00B11053" w:rsidRPr="00284585">
        <w:rPr>
          <w:rFonts w:ascii="Times New Roman" w:hAnsi="Times New Roman" w:cs="Times New Roman"/>
          <w:i/>
          <w:sz w:val="26"/>
          <w:szCs w:val="26"/>
        </w:rPr>
        <w:t>015</w:t>
      </w:r>
      <w:r w:rsidR="009B4761" w:rsidRPr="00284585">
        <w:rPr>
          <w:rFonts w:ascii="Times New Roman" w:hAnsi="Times New Roman" w:cs="Times New Roman"/>
          <w:i/>
          <w:sz w:val="26"/>
          <w:szCs w:val="26"/>
        </w:rPr>
        <w:t xml:space="preserve"> </w:t>
      </w:r>
      <w:r w:rsidR="00B11053" w:rsidRPr="00284585">
        <w:rPr>
          <w:rFonts w:ascii="Times New Roman" w:hAnsi="Times New Roman" w:cs="Times New Roman"/>
          <w:i/>
          <w:sz w:val="26"/>
          <w:szCs w:val="26"/>
        </w:rPr>
        <w:t>-</w:t>
      </w:r>
      <w:r w:rsidR="009B4761" w:rsidRPr="00284585">
        <w:rPr>
          <w:rFonts w:ascii="Times New Roman" w:hAnsi="Times New Roman" w:cs="Times New Roman"/>
          <w:i/>
          <w:sz w:val="26"/>
          <w:szCs w:val="26"/>
        </w:rPr>
        <w:t xml:space="preserve"> </w:t>
      </w:r>
      <w:r w:rsidR="00B11053" w:rsidRPr="00284585">
        <w:rPr>
          <w:rFonts w:ascii="Times New Roman" w:hAnsi="Times New Roman" w:cs="Times New Roman"/>
          <w:i/>
          <w:sz w:val="26"/>
          <w:szCs w:val="26"/>
        </w:rPr>
        <w:t>2025</w:t>
      </w:r>
      <w:r w:rsidRPr="00284585">
        <w:rPr>
          <w:rFonts w:ascii="Times New Roman" w:hAnsi="Times New Roman" w:cs="Times New Roman"/>
          <w:i/>
          <w:sz w:val="26"/>
          <w:szCs w:val="26"/>
        </w:rPr>
        <w:t>;</w:t>
      </w:r>
      <w:r w:rsidR="00B11053" w:rsidRPr="00284585">
        <w:rPr>
          <w:rFonts w:ascii="Times New Roman" w:hAnsi="Times New Roman" w:cs="Times New Roman"/>
          <w:i/>
          <w:sz w:val="26"/>
          <w:szCs w:val="26"/>
        </w:rPr>
        <w:t xml:space="preserve"> based on</w:t>
      </w:r>
      <w:r w:rsidRPr="00284585">
        <w:rPr>
          <w:rFonts w:ascii="Times New Roman" w:hAnsi="Times New Roman" w:cs="Times New Roman"/>
          <w:i/>
          <w:sz w:val="26"/>
          <w:szCs w:val="26"/>
        </w:rPr>
        <w:t xml:space="preserve"> Stewards</w:t>
      </w:r>
      <w:r w:rsidR="00B11053" w:rsidRPr="00284585">
        <w:rPr>
          <w:rFonts w:ascii="Times New Roman" w:hAnsi="Times New Roman" w:cs="Times New Roman"/>
          <w:i/>
          <w:sz w:val="26"/>
          <w:szCs w:val="26"/>
        </w:rPr>
        <w:t xml:space="preserve"> </w:t>
      </w:r>
      <w:r w:rsidRPr="00284585">
        <w:rPr>
          <w:rFonts w:ascii="Times New Roman" w:hAnsi="Times New Roman" w:cs="Times New Roman"/>
          <w:i/>
          <w:sz w:val="26"/>
          <w:szCs w:val="26"/>
        </w:rPr>
        <w:t>e</w:t>
      </w:r>
      <w:r w:rsidR="00B11053" w:rsidRPr="00284585">
        <w:rPr>
          <w:rFonts w:ascii="Times New Roman" w:hAnsi="Times New Roman" w:cs="Times New Roman"/>
          <w:i/>
          <w:sz w:val="26"/>
          <w:szCs w:val="26"/>
        </w:rPr>
        <w:t>stimates +/ -40%</w:t>
      </w:r>
      <w:r w:rsidRPr="00284585">
        <w:rPr>
          <w:rFonts w:ascii="Times New Roman" w:hAnsi="Times New Roman" w:cs="Times New Roman"/>
          <w:i/>
          <w:sz w:val="26"/>
          <w:szCs w:val="26"/>
        </w:rPr>
        <w:t>; items are not prioritized)</w:t>
      </w:r>
    </w:p>
    <w:p w:rsidR="00B11053" w:rsidRPr="00284585" w:rsidRDefault="00B11053" w:rsidP="00FC73D3">
      <w:pPr>
        <w:spacing w:before="120" w:after="0" w:line="240" w:lineRule="auto"/>
        <w:ind w:firstLine="720"/>
        <w:rPr>
          <w:rFonts w:ascii="Times New Roman" w:hAnsi="Times New Roman" w:cs="Times New Roman"/>
          <w:b/>
          <w:sz w:val="26"/>
          <w:szCs w:val="26"/>
        </w:rPr>
      </w:pPr>
      <w:r w:rsidRPr="00284585">
        <w:rPr>
          <w:rFonts w:ascii="Times New Roman" w:hAnsi="Times New Roman" w:cs="Times New Roman"/>
          <w:b/>
          <w:sz w:val="26"/>
          <w:szCs w:val="26"/>
        </w:rPr>
        <w:t>St. Andrew’s $</w:t>
      </w:r>
      <w:r w:rsidR="00B96873" w:rsidRPr="00284585">
        <w:rPr>
          <w:rFonts w:ascii="Times New Roman" w:hAnsi="Times New Roman" w:cs="Times New Roman"/>
          <w:b/>
          <w:sz w:val="26"/>
          <w:szCs w:val="26"/>
        </w:rPr>
        <w:t>16</w:t>
      </w:r>
      <w:r w:rsidR="00901DEB" w:rsidRPr="00284585">
        <w:rPr>
          <w:rFonts w:ascii="Times New Roman" w:hAnsi="Times New Roman" w:cs="Times New Roman"/>
          <w:b/>
          <w:sz w:val="26"/>
          <w:szCs w:val="26"/>
        </w:rPr>
        <w:t>1</w:t>
      </w:r>
      <w:r w:rsidR="00101CC2" w:rsidRPr="00284585">
        <w:rPr>
          <w:rFonts w:ascii="Times New Roman" w:hAnsi="Times New Roman" w:cs="Times New Roman"/>
          <w:b/>
          <w:sz w:val="26"/>
          <w:szCs w:val="26"/>
        </w:rPr>
        <w:t xml:space="preserve">K </w:t>
      </w:r>
      <w:r w:rsidRPr="00284585">
        <w:rPr>
          <w:rFonts w:ascii="Times New Roman" w:hAnsi="Times New Roman" w:cs="Times New Roman"/>
          <w:b/>
          <w:sz w:val="26"/>
          <w:szCs w:val="26"/>
        </w:rPr>
        <w:t>= $</w:t>
      </w:r>
      <w:r w:rsidR="00B96873" w:rsidRPr="00284585">
        <w:rPr>
          <w:rFonts w:ascii="Times New Roman" w:hAnsi="Times New Roman" w:cs="Times New Roman"/>
          <w:b/>
          <w:sz w:val="26"/>
          <w:szCs w:val="26"/>
        </w:rPr>
        <w:t>16</w:t>
      </w:r>
      <w:r w:rsidR="00901DEB" w:rsidRPr="00284585">
        <w:rPr>
          <w:rFonts w:ascii="Times New Roman" w:hAnsi="Times New Roman" w:cs="Times New Roman"/>
          <w:b/>
          <w:sz w:val="26"/>
          <w:szCs w:val="26"/>
        </w:rPr>
        <w:t>.1</w:t>
      </w:r>
      <w:r w:rsidRPr="00284585">
        <w:rPr>
          <w:rFonts w:ascii="Times New Roman" w:hAnsi="Times New Roman" w:cs="Times New Roman"/>
          <w:b/>
          <w:sz w:val="26"/>
          <w:szCs w:val="26"/>
        </w:rPr>
        <w:t>K investment per year</w:t>
      </w:r>
    </w:p>
    <w:p w:rsidR="00B11053" w:rsidRPr="00284585" w:rsidRDefault="00B96873" w:rsidP="00A43275">
      <w:pPr>
        <w:spacing w:after="0" w:line="240" w:lineRule="auto"/>
        <w:ind w:left="720"/>
        <w:rPr>
          <w:rFonts w:ascii="Times New Roman" w:hAnsi="Times New Roman" w:cs="Times New Roman"/>
          <w:sz w:val="26"/>
          <w:szCs w:val="26"/>
        </w:rPr>
      </w:pPr>
      <w:r w:rsidRPr="00284585">
        <w:rPr>
          <w:rFonts w:ascii="Times New Roman" w:hAnsi="Times New Roman" w:cs="Times New Roman"/>
          <w:sz w:val="26"/>
          <w:szCs w:val="26"/>
          <w:u w:val="single"/>
        </w:rPr>
        <w:t>Includes</w:t>
      </w:r>
      <w:r w:rsidRPr="00284585">
        <w:rPr>
          <w:rFonts w:ascii="Times New Roman" w:hAnsi="Times New Roman" w:cs="Times New Roman"/>
          <w:sz w:val="26"/>
          <w:szCs w:val="26"/>
        </w:rPr>
        <w:t>: Complete Roof over Entrance</w:t>
      </w:r>
      <w:r w:rsidR="00101CC2" w:rsidRPr="00284585">
        <w:rPr>
          <w:rFonts w:ascii="Times New Roman" w:hAnsi="Times New Roman" w:cs="Times New Roman"/>
          <w:sz w:val="26"/>
          <w:szCs w:val="26"/>
        </w:rPr>
        <w:t xml:space="preserve">, </w:t>
      </w:r>
      <w:r w:rsidR="00250D76" w:rsidRPr="00284585">
        <w:rPr>
          <w:rFonts w:ascii="Times New Roman" w:hAnsi="Times New Roman" w:cs="Times New Roman"/>
          <w:sz w:val="26"/>
          <w:szCs w:val="26"/>
        </w:rPr>
        <w:t>Masonry Repairs</w:t>
      </w:r>
      <w:r w:rsidR="00101CC2" w:rsidRPr="00284585">
        <w:rPr>
          <w:rFonts w:ascii="Times New Roman" w:hAnsi="Times New Roman" w:cs="Times New Roman"/>
          <w:sz w:val="26"/>
          <w:szCs w:val="26"/>
        </w:rPr>
        <w:t xml:space="preserve">, </w:t>
      </w:r>
      <w:r w:rsidR="00250D76" w:rsidRPr="00284585">
        <w:rPr>
          <w:rFonts w:ascii="Times New Roman" w:hAnsi="Times New Roman" w:cs="Times New Roman"/>
          <w:sz w:val="26"/>
          <w:szCs w:val="26"/>
        </w:rPr>
        <w:t>Paint Higher Exterior Elevations</w:t>
      </w:r>
      <w:r w:rsidR="00101CC2" w:rsidRPr="00284585">
        <w:rPr>
          <w:rFonts w:ascii="Times New Roman" w:hAnsi="Times New Roman" w:cs="Times New Roman"/>
          <w:sz w:val="26"/>
          <w:szCs w:val="26"/>
        </w:rPr>
        <w:t xml:space="preserve">, </w:t>
      </w:r>
      <w:r w:rsidR="00250D76" w:rsidRPr="00284585">
        <w:rPr>
          <w:rFonts w:ascii="Times New Roman" w:hAnsi="Times New Roman" w:cs="Times New Roman"/>
          <w:sz w:val="26"/>
          <w:szCs w:val="26"/>
        </w:rPr>
        <w:t>Interior Painting: Sanctuary</w:t>
      </w:r>
      <w:r w:rsidR="00101CC2" w:rsidRPr="00284585">
        <w:rPr>
          <w:rFonts w:ascii="Times New Roman" w:hAnsi="Times New Roman" w:cs="Times New Roman"/>
          <w:sz w:val="26"/>
          <w:szCs w:val="26"/>
        </w:rPr>
        <w:t>, Water runoff control and eaves troughs</w:t>
      </w:r>
      <w:r w:rsidR="00250D76" w:rsidRPr="00284585">
        <w:rPr>
          <w:rFonts w:ascii="Times New Roman" w:hAnsi="Times New Roman" w:cs="Times New Roman"/>
          <w:sz w:val="26"/>
          <w:szCs w:val="26"/>
        </w:rPr>
        <w:t>, Interior Painting</w:t>
      </w:r>
      <w:r w:rsidR="00C105DB" w:rsidRPr="00284585">
        <w:rPr>
          <w:rFonts w:ascii="Times New Roman" w:hAnsi="Times New Roman" w:cs="Times New Roman"/>
          <w:sz w:val="26"/>
          <w:szCs w:val="26"/>
        </w:rPr>
        <w:t>:</w:t>
      </w:r>
      <w:r w:rsidR="00250D76" w:rsidRPr="00284585">
        <w:rPr>
          <w:rFonts w:ascii="Times New Roman" w:hAnsi="Times New Roman" w:cs="Times New Roman"/>
          <w:sz w:val="26"/>
          <w:szCs w:val="26"/>
        </w:rPr>
        <w:t xml:space="preserve"> Stewart Hall</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 xml:space="preserve">Exterior </w:t>
      </w:r>
      <w:r w:rsidRPr="00284585">
        <w:rPr>
          <w:rFonts w:ascii="Times New Roman" w:hAnsi="Times New Roman" w:cs="Times New Roman"/>
          <w:sz w:val="26"/>
          <w:szCs w:val="26"/>
        </w:rPr>
        <w:t>Window</w:t>
      </w:r>
      <w:r w:rsidR="00B11053" w:rsidRPr="00284585">
        <w:rPr>
          <w:rFonts w:ascii="Times New Roman" w:hAnsi="Times New Roman" w:cs="Times New Roman"/>
          <w:sz w:val="26"/>
          <w:szCs w:val="26"/>
        </w:rPr>
        <w:t xml:space="preserve"> </w:t>
      </w:r>
      <w:r w:rsidRPr="00284585">
        <w:rPr>
          <w:rFonts w:ascii="Times New Roman" w:hAnsi="Times New Roman" w:cs="Times New Roman"/>
          <w:sz w:val="26"/>
          <w:szCs w:val="26"/>
        </w:rPr>
        <w:t>Coverings, Sills &amp; Eaves</w:t>
      </w:r>
      <w:r w:rsidR="00101CC2" w:rsidRPr="00284585">
        <w:rPr>
          <w:rFonts w:ascii="Times New Roman" w:hAnsi="Times New Roman" w:cs="Times New Roman"/>
          <w:sz w:val="26"/>
          <w:szCs w:val="26"/>
        </w:rPr>
        <w:t xml:space="preserve">, </w:t>
      </w:r>
      <w:r w:rsidR="00C105DB" w:rsidRPr="00284585">
        <w:rPr>
          <w:rFonts w:ascii="Times New Roman" w:hAnsi="Times New Roman" w:cs="Times New Roman"/>
          <w:sz w:val="26"/>
          <w:szCs w:val="26"/>
        </w:rPr>
        <w:t>Upgrade Sound System</w:t>
      </w:r>
      <w:r w:rsidR="00101CC2" w:rsidRPr="00284585">
        <w:rPr>
          <w:rFonts w:ascii="Times New Roman" w:hAnsi="Times New Roman" w:cs="Times New Roman"/>
          <w:sz w:val="26"/>
          <w:szCs w:val="26"/>
        </w:rPr>
        <w:t xml:space="preserve">, </w:t>
      </w:r>
      <w:r w:rsidR="00C105DB" w:rsidRPr="00284585">
        <w:rPr>
          <w:rFonts w:ascii="Times New Roman" w:hAnsi="Times New Roman" w:cs="Times New Roman"/>
          <w:sz w:val="26"/>
          <w:szCs w:val="26"/>
        </w:rPr>
        <w:t>Tower Room: insulate &amp; floor</w:t>
      </w:r>
      <w:r w:rsidR="00101CC2" w:rsidRPr="00284585">
        <w:rPr>
          <w:rFonts w:ascii="Times New Roman" w:hAnsi="Times New Roman" w:cs="Times New Roman"/>
          <w:sz w:val="26"/>
          <w:szCs w:val="26"/>
        </w:rPr>
        <w:t xml:space="preserve">, </w:t>
      </w:r>
      <w:r w:rsidR="00C105DB" w:rsidRPr="00284585">
        <w:rPr>
          <w:rFonts w:ascii="Times New Roman" w:hAnsi="Times New Roman" w:cs="Times New Roman"/>
          <w:sz w:val="26"/>
          <w:szCs w:val="26"/>
        </w:rPr>
        <w:t>Finish</w:t>
      </w:r>
      <w:r w:rsidRPr="00284585">
        <w:rPr>
          <w:rFonts w:ascii="Times New Roman" w:hAnsi="Times New Roman" w:cs="Times New Roman"/>
          <w:sz w:val="26"/>
          <w:szCs w:val="26"/>
        </w:rPr>
        <w:t xml:space="preserve"> Furnace Room &amp; Doors</w:t>
      </w:r>
      <w:r w:rsidR="00101CC2" w:rsidRPr="00284585">
        <w:rPr>
          <w:rFonts w:ascii="Times New Roman" w:hAnsi="Times New Roman" w:cs="Times New Roman"/>
          <w:sz w:val="26"/>
          <w:szCs w:val="26"/>
        </w:rPr>
        <w:t xml:space="preserve">, </w:t>
      </w:r>
      <w:r w:rsidR="00C105DB" w:rsidRPr="00284585">
        <w:rPr>
          <w:rFonts w:ascii="Times New Roman" w:hAnsi="Times New Roman" w:cs="Times New Roman"/>
          <w:sz w:val="26"/>
          <w:szCs w:val="26"/>
        </w:rPr>
        <w:t>Lighting over Pulpit area in Sanctuary</w:t>
      </w:r>
      <w:r w:rsidR="00101CC2" w:rsidRPr="00284585">
        <w:rPr>
          <w:rFonts w:ascii="Times New Roman" w:hAnsi="Times New Roman" w:cs="Times New Roman"/>
          <w:sz w:val="26"/>
          <w:szCs w:val="26"/>
        </w:rPr>
        <w:t xml:space="preserve">, </w:t>
      </w:r>
      <w:r w:rsidR="00C105DB" w:rsidRPr="00284585">
        <w:rPr>
          <w:rFonts w:ascii="Times New Roman" w:hAnsi="Times New Roman" w:cs="Times New Roman"/>
          <w:sz w:val="26"/>
          <w:szCs w:val="26"/>
        </w:rPr>
        <w:t>Septic System Upgrade</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Window Repl</w:t>
      </w:r>
      <w:r w:rsidRPr="00284585">
        <w:rPr>
          <w:rFonts w:ascii="Times New Roman" w:hAnsi="Times New Roman" w:cs="Times New Roman"/>
          <w:sz w:val="26"/>
          <w:szCs w:val="26"/>
        </w:rPr>
        <w:t>acement &amp; Repair in Lower Hall</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 xml:space="preserve">Floor Repair Lower </w:t>
      </w:r>
      <w:r w:rsidRPr="00284585">
        <w:rPr>
          <w:rFonts w:ascii="Times New Roman" w:hAnsi="Times New Roman" w:cs="Times New Roman"/>
          <w:sz w:val="26"/>
          <w:szCs w:val="26"/>
        </w:rPr>
        <w:t>Hall</w:t>
      </w:r>
      <w:r w:rsidR="00250D76" w:rsidRPr="00284585">
        <w:rPr>
          <w:rFonts w:ascii="Times New Roman" w:hAnsi="Times New Roman" w:cs="Times New Roman"/>
          <w:sz w:val="26"/>
          <w:szCs w:val="26"/>
        </w:rPr>
        <w:t>,</w:t>
      </w:r>
      <w:r w:rsidRPr="00284585">
        <w:rPr>
          <w:rFonts w:ascii="Times New Roman" w:hAnsi="Times New Roman" w:cs="Times New Roman"/>
          <w:sz w:val="26"/>
          <w:szCs w:val="26"/>
        </w:rPr>
        <w:t xml:space="preserve"> Kitchen &amp; Sunday School</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Repair Lower Hall Foundati</w:t>
      </w:r>
      <w:r w:rsidRPr="00284585">
        <w:rPr>
          <w:rFonts w:ascii="Times New Roman" w:hAnsi="Times New Roman" w:cs="Times New Roman"/>
          <w:sz w:val="26"/>
          <w:szCs w:val="26"/>
        </w:rPr>
        <w:t>on &amp; Stairwell &amp; Heating Ducts</w:t>
      </w:r>
    </w:p>
    <w:p w:rsidR="00B11053" w:rsidRPr="00284585" w:rsidRDefault="00101CC2" w:rsidP="00A63672">
      <w:pPr>
        <w:spacing w:before="120" w:after="0" w:line="240" w:lineRule="auto"/>
        <w:ind w:left="720"/>
        <w:rPr>
          <w:rFonts w:ascii="Times New Roman" w:hAnsi="Times New Roman" w:cs="Times New Roman"/>
          <w:b/>
          <w:sz w:val="26"/>
          <w:szCs w:val="26"/>
        </w:rPr>
      </w:pPr>
      <w:r w:rsidRPr="00284585">
        <w:rPr>
          <w:rFonts w:ascii="Times New Roman" w:hAnsi="Times New Roman" w:cs="Times New Roman"/>
          <w:b/>
          <w:sz w:val="26"/>
          <w:szCs w:val="26"/>
        </w:rPr>
        <w:t xml:space="preserve">Zion $31K </w:t>
      </w:r>
      <w:r w:rsidR="00B11053" w:rsidRPr="00284585">
        <w:rPr>
          <w:rFonts w:ascii="Times New Roman" w:hAnsi="Times New Roman" w:cs="Times New Roman"/>
          <w:b/>
          <w:sz w:val="26"/>
          <w:szCs w:val="26"/>
        </w:rPr>
        <w:t>= $3.1K investment per year</w:t>
      </w:r>
    </w:p>
    <w:p w:rsidR="00B11053" w:rsidRPr="00284585" w:rsidRDefault="00901DEB" w:rsidP="00A43275">
      <w:pPr>
        <w:spacing w:after="0" w:line="240" w:lineRule="auto"/>
        <w:ind w:left="720"/>
        <w:rPr>
          <w:rFonts w:ascii="Times New Roman" w:hAnsi="Times New Roman" w:cs="Times New Roman"/>
          <w:sz w:val="26"/>
          <w:szCs w:val="26"/>
        </w:rPr>
      </w:pPr>
      <w:r w:rsidRPr="00284585">
        <w:rPr>
          <w:rFonts w:ascii="Times New Roman" w:hAnsi="Times New Roman" w:cs="Times New Roman"/>
          <w:sz w:val="26"/>
          <w:szCs w:val="26"/>
          <w:u w:val="single"/>
        </w:rPr>
        <w:t>Includes</w:t>
      </w:r>
      <w:r w:rsidRPr="00284585">
        <w:rPr>
          <w:rFonts w:ascii="Times New Roman" w:hAnsi="Times New Roman" w:cs="Times New Roman"/>
          <w:sz w:val="26"/>
          <w:szCs w:val="26"/>
        </w:rPr>
        <w:t>: New Oil Tank</w:t>
      </w:r>
      <w:r w:rsidR="00101CC2" w:rsidRPr="00284585">
        <w:rPr>
          <w:rFonts w:ascii="Times New Roman" w:hAnsi="Times New Roman" w:cs="Times New Roman"/>
          <w:sz w:val="26"/>
          <w:szCs w:val="26"/>
        </w:rPr>
        <w:t xml:space="preserve">, </w:t>
      </w:r>
      <w:r w:rsidRPr="00284585">
        <w:rPr>
          <w:rFonts w:ascii="Times New Roman" w:hAnsi="Times New Roman" w:cs="Times New Roman"/>
          <w:sz w:val="26"/>
          <w:szCs w:val="26"/>
        </w:rPr>
        <w:t>Exterior Paint</w:t>
      </w:r>
      <w:r w:rsidR="00101CC2" w:rsidRPr="00284585">
        <w:rPr>
          <w:rFonts w:ascii="Times New Roman" w:hAnsi="Times New Roman" w:cs="Times New Roman"/>
          <w:sz w:val="26"/>
          <w:szCs w:val="26"/>
        </w:rPr>
        <w:t xml:space="preserve">, </w:t>
      </w:r>
      <w:r w:rsidRPr="00284585">
        <w:rPr>
          <w:rFonts w:ascii="Times New Roman" w:hAnsi="Times New Roman" w:cs="Times New Roman"/>
          <w:sz w:val="26"/>
          <w:szCs w:val="26"/>
        </w:rPr>
        <w:t>Fire Extinguisher Upgrade</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Front Door &amp; H</w:t>
      </w:r>
      <w:r w:rsidRPr="00284585">
        <w:rPr>
          <w:rFonts w:ascii="Times New Roman" w:hAnsi="Times New Roman" w:cs="Times New Roman"/>
          <w:sz w:val="26"/>
          <w:szCs w:val="26"/>
        </w:rPr>
        <w:t>ardware</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Interior Pain</w:t>
      </w:r>
      <w:r w:rsidRPr="00284585">
        <w:rPr>
          <w:rFonts w:ascii="Times New Roman" w:hAnsi="Times New Roman" w:cs="Times New Roman"/>
          <w:sz w:val="26"/>
          <w:szCs w:val="26"/>
        </w:rPr>
        <w:t>t</w:t>
      </w:r>
      <w:r w:rsidR="00101CC2" w:rsidRPr="00284585">
        <w:rPr>
          <w:rFonts w:ascii="Times New Roman" w:hAnsi="Times New Roman" w:cs="Times New Roman"/>
          <w:sz w:val="26"/>
          <w:szCs w:val="26"/>
        </w:rPr>
        <w:t xml:space="preserve">, </w:t>
      </w:r>
      <w:r w:rsidRPr="00284585">
        <w:rPr>
          <w:rFonts w:ascii="Times New Roman" w:hAnsi="Times New Roman" w:cs="Times New Roman"/>
          <w:sz w:val="26"/>
          <w:szCs w:val="26"/>
        </w:rPr>
        <w:t>New Propane Furnace</w:t>
      </w:r>
      <w:r w:rsidR="00101CC2" w:rsidRPr="00284585">
        <w:rPr>
          <w:rFonts w:ascii="Times New Roman" w:hAnsi="Times New Roman" w:cs="Times New Roman"/>
          <w:sz w:val="26"/>
          <w:szCs w:val="26"/>
        </w:rPr>
        <w:t xml:space="preserve">, </w:t>
      </w:r>
      <w:r w:rsidR="00B11053" w:rsidRPr="00284585">
        <w:rPr>
          <w:rFonts w:ascii="Times New Roman" w:hAnsi="Times New Roman" w:cs="Times New Roman"/>
          <w:sz w:val="26"/>
          <w:szCs w:val="26"/>
        </w:rPr>
        <w:t>New Win</w:t>
      </w:r>
      <w:r w:rsidRPr="00284585">
        <w:rPr>
          <w:rFonts w:ascii="Times New Roman" w:hAnsi="Times New Roman" w:cs="Times New Roman"/>
          <w:sz w:val="26"/>
          <w:szCs w:val="26"/>
        </w:rPr>
        <w:t>dows in Sunday School Hall (5)</w:t>
      </w:r>
      <w:r w:rsidR="00101CC2" w:rsidRPr="00284585">
        <w:rPr>
          <w:rFonts w:ascii="Times New Roman" w:hAnsi="Times New Roman" w:cs="Times New Roman"/>
          <w:sz w:val="26"/>
          <w:szCs w:val="26"/>
        </w:rPr>
        <w:t xml:space="preserve">, </w:t>
      </w:r>
      <w:r w:rsidR="00C105DB" w:rsidRPr="00284585">
        <w:rPr>
          <w:rFonts w:ascii="Times New Roman" w:hAnsi="Times New Roman" w:cs="Times New Roman"/>
          <w:sz w:val="26"/>
          <w:szCs w:val="26"/>
        </w:rPr>
        <w:t>Railing</w:t>
      </w:r>
      <w:r w:rsidR="00101CC2" w:rsidRPr="00284585">
        <w:rPr>
          <w:rFonts w:ascii="Times New Roman" w:hAnsi="Times New Roman" w:cs="Times New Roman"/>
          <w:sz w:val="26"/>
          <w:szCs w:val="26"/>
        </w:rPr>
        <w:t xml:space="preserve">, </w:t>
      </w:r>
      <w:r w:rsidRPr="00284585">
        <w:rPr>
          <w:rFonts w:ascii="Times New Roman" w:hAnsi="Times New Roman" w:cs="Times New Roman"/>
          <w:sz w:val="26"/>
          <w:szCs w:val="26"/>
        </w:rPr>
        <w:t>New Entrance Door to Kitchen</w:t>
      </w:r>
      <w:r w:rsidR="00101CC2" w:rsidRPr="00284585">
        <w:rPr>
          <w:rFonts w:ascii="Times New Roman" w:hAnsi="Times New Roman" w:cs="Times New Roman"/>
          <w:sz w:val="26"/>
          <w:szCs w:val="26"/>
        </w:rPr>
        <w:t>, Interior Carpet</w:t>
      </w:r>
    </w:p>
    <w:p w:rsidR="00C105DB" w:rsidRPr="00284585" w:rsidRDefault="009D1E40" w:rsidP="00FC73D3">
      <w:pPr>
        <w:spacing w:before="240" w:after="0" w:line="240" w:lineRule="auto"/>
        <w:rPr>
          <w:rFonts w:ascii="Times New Roman" w:hAnsi="Times New Roman" w:cs="Times New Roman"/>
          <w:sz w:val="26"/>
          <w:szCs w:val="26"/>
        </w:rPr>
      </w:pPr>
      <w:r w:rsidRPr="00284585">
        <w:rPr>
          <w:rFonts w:ascii="Times New Roman" w:hAnsi="Times New Roman" w:cs="Times New Roman"/>
          <w:b/>
          <w:sz w:val="26"/>
          <w:szCs w:val="26"/>
        </w:rPr>
        <w:t>2.3</w:t>
      </w:r>
      <w:r w:rsidRPr="00284585">
        <w:rPr>
          <w:rFonts w:ascii="Times New Roman" w:hAnsi="Times New Roman" w:cs="Times New Roman"/>
          <w:b/>
          <w:sz w:val="26"/>
          <w:szCs w:val="26"/>
        </w:rPr>
        <w:tab/>
      </w:r>
      <w:r w:rsidR="00901DEB" w:rsidRPr="00284585">
        <w:rPr>
          <w:rFonts w:ascii="Times New Roman" w:hAnsi="Times New Roman" w:cs="Times New Roman"/>
          <w:b/>
          <w:sz w:val="26"/>
          <w:szCs w:val="26"/>
        </w:rPr>
        <w:t>Congregations’ Trust Funds</w:t>
      </w:r>
      <w:r w:rsidR="00C105DB" w:rsidRPr="00284585">
        <w:rPr>
          <w:rFonts w:ascii="Times New Roman" w:hAnsi="Times New Roman" w:cs="Times New Roman"/>
          <w:b/>
          <w:sz w:val="26"/>
          <w:szCs w:val="26"/>
        </w:rPr>
        <w:t xml:space="preserve"> &amp; Cash on Hand </w:t>
      </w:r>
      <w:r w:rsidR="00C105DB" w:rsidRPr="00284585">
        <w:rPr>
          <w:rFonts w:ascii="Times New Roman" w:hAnsi="Times New Roman" w:cs="Times New Roman"/>
          <w:sz w:val="26"/>
          <w:szCs w:val="26"/>
        </w:rPr>
        <w:t>(as of Dec 31, 201</w:t>
      </w:r>
      <w:r w:rsidR="00E825DD" w:rsidRPr="00284585">
        <w:rPr>
          <w:rFonts w:ascii="Times New Roman" w:hAnsi="Times New Roman" w:cs="Times New Roman"/>
          <w:sz w:val="26"/>
          <w:szCs w:val="26"/>
        </w:rPr>
        <w:t>5</w:t>
      </w:r>
      <w:r w:rsidR="00C105DB" w:rsidRPr="00284585">
        <w:rPr>
          <w:rFonts w:ascii="Times New Roman" w:hAnsi="Times New Roman" w:cs="Times New Roman"/>
          <w:sz w:val="26"/>
          <w:szCs w:val="26"/>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870"/>
        <w:gridCol w:w="2538"/>
      </w:tblGrid>
      <w:tr w:rsidR="00FC73D3" w:rsidRPr="00284585" w:rsidTr="0062752B">
        <w:tc>
          <w:tcPr>
            <w:tcW w:w="2700" w:type="dxa"/>
            <w:tcBorders>
              <w:bottom w:val="single" w:sz="4" w:space="0" w:color="808080" w:themeColor="background1" w:themeShade="80"/>
            </w:tcBorders>
          </w:tcPr>
          <w:p w:rsidR="00FC73D3" w:rsidRPr="00284585" w:rsidRDefault="00FC73D3" w:rsidP="00A63672">
            <w:pPr>
              <w:spacing w:before="120"/>
              <w:rPr>
                <w:rFonts w:ascii="Times New Roman" w:hAnsi="Times New Roman" w:cs="Times New Roman"/>
                <w:b/>
                <w:i/>
                <w:sz w:val="26"/>
                <w:szCs w:val="26"/>
              </w:rPr>
            </w:pPr>
            <w:r w:rsidRPr="00284585">
              <w:rPr>
                <w:rFonts w:ascii="Times New Roman" w:hAnsi="Times New Roman" w:cs="Times New Roman"/>
                <w:b/>
                <w:i/>
                <w:sz w:val="26"/>
                <w:szCs w:val="26"/>
              </w:rPr>
              <w:t>Available Funds</w:t>
            </w:r>
          </w:p>
        </w:tc>
        <w:tc>
          <w:tcPr>
            <w:tcW w:w="3870" w:type="dxa"/>
            <w:tcBorders>
              <w:bottom w:val="single" w:sz="4" w:space="0" w:color="808080" w:themeColor="background1" w:themeShade="80"/>
            </w:tcBorders>
          </w:tcPr>
          <w:p w:rsidR="00FC73D3" w:rsidRPr="00284585" w:rsidRDefault="00FC73D3" w:rsidP="00A63672">
            <w:pPr>
              <w:spacing w:before="120"/>
              <w:rPr>
                <w:rFonts w:ascii="Times New Roman" w:hAnsi="Times New Roman" w:cs="Times New Roman"/>
                <w:b/>
                <w:i/>
                <w:sz w:val="26"/>
                <w:szCs w:val="26"/>
              </w:rPr>
            </w:pPr>
            <w:r w:rsidRPr="00284585">
              <w:rPr>
                <w:rFonts w:ascii="Times New Roman" w:hAnsi="Times New Roman" w:cs="Times New Roman"/>
                <w:b/>
                <w:i/>
                <w:sz w:val="26"/>
                <w:szCs w:val="26"/>
              </w:rPr>
              <w:t>St. Andrew’s</w:t>
            </w:r>
          </w:p>
        </w:tc>
        <w:tc>
          <w:tcPr>
            <w:tcW w:w="2538" w:type="dxa"/>
            <w:tcBorders>
              <w:bottom w:val="single" w:sz="4" w:space="0" w:color="808080" w:themeColor="background1" w:themeShade="80"/>
            </w:tcBorders>
          </w:tcPr>
          <w:p w:rsidR="00FC73D3" w:rsidRPr="00284585" w:rsidRDefault="00FC73D3" w:rsidP="00A63672">
            <w:pPr>
              <w:spacing w:before="120"/>
              <w:rPr>
                <w:rFonts w:ascii="Times New Roman" w:hAnsi="Times New Roman" w:cs="Times New Roman"/>
                <w:b/>
                <w:i/>
                <w:sz w:val="26"/>
                <w:szCs w:val="26"/>
              </w:rPr>
            </w:pPr>
            <w:r w:rsidRPr="00284585">
              <w:rPr>
                <w:rFonts w:ascii="Times New Roman" w:hAnsi="Times New Roman" w:cs="Times New Roman"/>
                <w:b/>
                <w:i/>
                <w:sz w:val="26"/>
                <w:szCs w:val="26"/>
              </w:rPr>
              <w:t>Zion</w:t>
            </w:r>
          </w:p>
        </w:tc>
      </w:tr>
      <w:tr w:rsidR="00FC73D3" w:rsidRPr="00284585" w:rsidTr="0062752B">
        <w:tc>
          <w:tcPr>
            <w:tcW w:w="2700" w:type="dxa"/>
            <w:tcBorders>
              <w:top w:val="single" w:sz="4" w:space="0" w:color="808080" w:themeColor="background1" w:themeShade="80"/>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Trust Funds</w:t>
            </w:r>
          </w:p>
        </w:tc>
        <w:tc>
          <w:tcPr>
            <w:tcW w:w="3870" w:type="dxa"/>
            <w:tcBorders>
              <w:top w:val="single" w:sz="4" w:space="0" w:color="808080" w:themeColor="background1" w:themeShade="80"/>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 xml:space="preserve">$222,453 </w:t>
            </w:r>
            <w:r w:rsidRPr="0062752B">
              <w:rPr>
                <w:rFonts w:ascii="Times New Roman" w:hAnsi="Times New Roman" w:cs="Times New Roman"/>
                <w:sz w:val="24"/>
                <w:szCs w:val="26"/>
              </w:rPr>
              <w:t>(includes Wilson Bequest)</w:t>
            </w:r>
          </w:p>
        </w:tc>
        <w:tc>
          <w:tcPr>
            <w:tcW w:w="2538" w:type="dxa"/>
            <w:tcBorders>
              <w:top w:val="single" w:sz="4" w:space="0" w:color="808080" w:themeColor="background1" w:themeShade="80"/>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$3,120</w:t>
            </w:r>
          </w:p>
        </w:tc>
      </w:tr>
      <w:tr w:rsidR="00FC73D3" w:rsidRPr="00284585" w:rsidTr="0062752B">
        <w:tc>
          <w:tcPr>
            <w:tcW w:w="2700" w:type="dxa"/>
            <w:tcBorders>
              <w:top w:val="dotted" w:sz="4" w:space="0" w:color="auto"/>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Cong. Cash on Hand</w:t>
            </w:r>
          </w:p>
        </w:tc>
        <w:tc>
          <w:tcPr>
            <w:tcW w:w="3870" w:type="dxa"/>
            <w:tcBorders>
              <w:top w:val="dotted" w:sz="4" w:space="0" w:color="auto"/>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$55,000</w:t>
            </w:r>
          </w:p>
        </w:tc>
        <w:tc>
          <w:tcPr>
            <w:tcW w:w="2538" w:type="dxa"/>
            <w:tcBorders>
              <w:top w:val="dotted" w:sz="4" w:space="0" w:color="auto"/>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$30,951</w:t>
            </w:r>
          </w:p>
        </w:tc>
      </w:tr>
      <w:tr w:rsidR="00FC73D3" w:rsidRPr="00284585" w:rsidTr="0062752B">
        <w:tc>
          <w:tcPr>
            <w:tcW w:w="2700" w:type="dxa"/>
            <w:tcBorders>
              <w:top w:val="dotted" w:sz="4" w:space="0" w:color="auto"/>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P. C., Cash on Hand %</w:t>
            </w:r>
          </w:p>
        </w:tc>
        <w:tc>
          <w:tcPr>
            <w:tcW w:w="3870" w:type="dxa"/>
            <w:tcBorders>
              <w:top w:val="dotted" w:sz="4" w:space="0" w:color="auto"/>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u w:val="single"/>
              </w:rPr>
              <w:t>$19,620</w:t>
            </w:r>
          </w:p>
        </w:tc>
        <w:tc>
          <w:tcPr>
            <w:tcW w:w="2538" w:type="dxa"/>
            <w:tcBorders>
              <w:top w:val="dotted" w:sz="4" w:space="0" w:color="auto"/>
              <w:bottom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u w:val="single"/>
              </w:rPr>
              <w:t>$7,630</w:t>
            </w:r>
          </w:p>
        </w:tc>
      </w:tr>
      <w:tr w:rsidR="00FC73D3" w:rsidRPr="00284585" w:rsidTr="0062752B">
        <w:tc>
          <w:tcPr>
            <w:tcW w:w="2700" w:type="dxa"/>
            <w:tcBorders>
              <w:top w:val="dotted" w:sz="4" w:space="0" w:color="auto"/>
            </w:tcBorders>
          </w:tcPr>
          <w:p w:rsidR="00FC73D3" w:rsidRPr="00284585" w:rsidRDefault="00FC73D3" w:rsidP="00A63672">
            <w:pPr>
              <w:spacing w:before="120"/>
              <w:rPr>
                <w:rFonts w:ascii="Times New Roman" w:hAnsi="Times New Roman" w:cs="Times New Roman"/>
                <w:b/>
                <w:sz w:val="26"/>
                <w:szCs w:val="26"/>
              </w:rPr>
            </w:pPr>
          </w:p>
        </w:tc>
        <w:tc>
          <w:tcPr>
            <w:tcW w:w="3870" w:type="dxa"/>
            <w:tcBorders>
              <w:top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$297,073</w:t>
            </w:r>
          </w:p>
        </w:tc>
        <w:tc>
          <w:tcPr>
            <w:tcW w:w="2538" w:type="dxa"/>
            <w:tcBorders>
              <w:top w:val="dotted" w:sz="4" w:space="0" w:color="auto"/>
            </w:tcBorders>
          </w:tcPr>
          <w:p w:rsidR="00FC73D3" w:rsidRPr="00284585" w:rsidRDefault="00FC73D3" w:rsidP="00A63672">
            <w:pPr>
              <w:spacing w:before="120"/>
              <w:rPr>
                <w:rFonts w:ascii="Times New Roman" w:hAnsi="Times New Roman" w:cs="Times New Roman"/>
                <w:b/>
                <w:sz w:val="26"/>
                <w:szCs w:val="26"/>
              </w:rPr>
            </w:pPr>
            <w:r w:rsidRPr="00284585">
              <w:rPr>
                <w:rFonts w:ascii="Times New Roman" w:hAnsi="Times New Roman" w:cs="Times New Roman"/>
                <w:sz w:val="26"/>
                <w:szCs w:val="26"/>
              </w:rPr>
              <w:t>$41,701</w:t>
            </w:r>
          </w:p>
        </w:tc>
      </w:tr>
    </w:tbl>
    <w:p w:rsidR="00FC73D3" w:rsidRPr="00284585" w:rsidRDefault="00AA3B52" w:rsidP="00FC73D3">
      <w:pPr>
        <w:spacing w:before="120" w:after="0" w:line="240" w:lineRule="auto"/>
        <w:jc w:val="center"/>
        <w:rPr>
          <w:rFonts w:ascii="Times New Roman" w:hAnsi="Times New Roman" w:cs="Times New Roman"/>
          <w:i/>
          <w:sz w:val="26"/>
          <w:szCs w:val="26"/>
        </w:rPr>
      </w:pPr>
      <w:r w:rsidRPr="00284585">
        <w:rPr>
          <w:rFonts w:ascii="Times New Roman" w:hAnsi="Times New Roman" w:cs="Times New Roman"/>
          <w:i/>
          <w:sz w:val="26"/>
          <w:szCs w:val="26"/>
        </w:rPr>
        <w:t xml:space="preserve">It is worth noting that the relationship between the available funds and the value of the building is </w:t>
      </w:r>
      <w:r w:rsidR="006A221F" w:rsidRPr="00284585">
        <w:rPr>
          <w:rFonts w:ascii="Times New Roman" w:hAnsi="Times New Roman" w:cs="Times New Roman"/>
          <w:i/>
          <w:sz w:val="26"/>
          <w:szCs w:val="26"/>
        </w:rPr>
        <w:t>18</w:t>
      </w:r>
      <w:r w:rsidRPr="00284585">
        <w:rPr>
          <w:rFonts w:ascii="Times New Roman" w:hAnsi="Times New Roman" w:cs="Times New Roman"/>
          <w:i/>
          <w:sz w:val="26"/>
          <w:szCs w:val="26"/>
        </w:rPr>
        <w:t xml:space="preserve">% at St. Andrew’s and </w:t>
      </w:r>
      <w:r w:rsidR="00872123" w:rsidRPr="00284585">
        <w:rPr>
          <w:rFonts w:ascii="Times New Roman" w:hAnsi="Times New Roman" w:cs="Times New Roman"/>
          <w:i/>
          <w:sz w:val="26"/>
          <w:szCs w:val="26"/>
        </w:rPr>
        <w:t>15</w:t>
      </w:r>
      <w:r w:rsidR="00FC73D3" w:rsidRPr="00284585">
        <w:rPr>
          <w:rFonts w:ascii="Times New Roman" w:hAnsi="Times New Roman" w:cs="Times New Roman"/>
          <w:i/>
          <w:sz w:val="26"/>
          <w:szCs w:val="26"/>
        </w:rPr>
        <w:t>% at Zion.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1730"/>
        <w:gridCol w:w="2232"/>
        <w:gridCol w:w="2966"/>
      </w:tblGrid>
      <w:tr w:rsidR="008F6902" w:rsidRPr="00284585" w:rsidTr="00F65EEE">
        <w:tc>
          <w:tcPr>
            <w:tcW w:w="2790" w:type="dxa"/>
            <w:tcBorders>
              <w:bottom w:val="single" w:sz="4" w:space="0" w:color="808080" w:themeColor="background1" w:themeShade="80"/>
            </w:tcBorders>
          </w:tcPr>
          <w:p w:rsidR="008F6902" w:rsidRPr="00284585" w:rsidRDefault="008F6902" w:rsidP="008F6902">
            <w:pPr>
              <w:pageBreakBefore/>
              <w:spacing w:before="120"/>
              <w:rPr>
                <w:rFonts w:ascii="Times New Roman" w:hAnsi="Times New Roman" w:cs="Times New Roman"/>
                <w:b/>
                <w:i/>
                <w:sz w:val="26"/>
                <w:szCs w:val="26"/>
              </w:rPr>
            </w:pPr>
            <w:r w:rsidRPr="00284585">
              <w:rPr>
                <w:rFonts w:ascii="Times New Roman" w:hAnsi="Times New Roman" w:cs="Times New Roman"/>
                <w:b/>
                <w:i/>
                <w:sz w:val="26"/>
                <w:szCs w:val="26"/>
              </w:rPr>
              <w:lastRenderedPageBreak/>
              <w:t>Unavailable Funds</w:t>
            </w:r>
          </w:p>
        </w:tc>
        <w:tc>
          <w:tcPr>
            <w:tcW w:w="1800" w:type="dxa"/>
            <w:tcBorders>
              <w:bottom w:val="single" w:sz="4" w:space="0" w:color="808080" w:themeColor="background1" w:themeShade="80"/>
            </w:tcBorders>
          </w:tcPr>
          <w:p w:rsidR="008F6902" w:rsidRPr="00284585" w:rsidRDefault="008F6902" w:rsidP="008F6902">
            <w:pPr>
              <w:pageBreakBefore/>
              <w:spacing w:before="120"/>
              <w:rPr>
                <w:rFonts w:ascii="Times New Roman" w:hAnsi="Times New Roman" w:cs="Times New Roman"/>
                <w:b/>
                <w:i/>
                <w:sz w:val="26"/>
                <w:szCs w:val="26"/>
              </w:rPr>
            </w:pPr>
            <w:r w:rsidRPr="00284585">
              <w:rPr>
                <w:rFonts w:ascii="Times New Roman" w:hAnsi="Times New Roman" w:cs="Times New Roman"/>
                <w:b/>
                <w:i/>
                <w:sz w:val="26"/>
                <w:szCs w:val="26"/>
              </w:rPr>
              <w:t>St. Andrew’s</w:t>
            </w:r>
          </w:p>
        </w:tc>
        <w:tc>
          <w:tcPr>
            <w:tcW w:w="2430" w:type="dxa"/>
            <w:tcBorders>
              <w:bottom w:val="single" w:sz="4" w:space="0" w:color="808080" w:themeColor="background1" w:themeShade="80"/>
            </w:tcBorders>
          </w:tcPr>
          <w:p w:rsidR="008F6902" w:rsidRPr="00284585" w:rsidRDefault="008F6902" w:rsidP="008F6902">
            <w:pPr>
              <w:pageBreakBefore/>
              <w:spacing w:before="120"/>
              <w:rPr>
                <w:rFonts w:ascii="Times New Roman" w:hAnsi="Times New Roman" w:cs="Times New Roman"/>
                <w:b/>
                <w:i/>
                <w:sz w:val="26"/>
                <w:szCs w:val="26"/>
              </w:rPr>
            </w:pPr>
          </w:p>
        </w:tc>
        <w:tc>
          <w:tcPr>
            <w:tcW w:w="3240" w:type="dxa"/>
            <w:tcBorders>
              <w:bottom w:val="single" w:sz="4" w:space="0" w:color="808080" w:themeColor="background1" w:themeShade="80"/>
            </w:tcBorders>
          </w:tcPr>
          <w:p w:rsidR="008F6902" w:rsidRPr="00284585" w:rsidRDefault="008F6902" w:rsidP="008F6902">
            <w:pPr>
              <w:pageBreakBefore/>
              <w:spacing w:before="120"/>
              <w:rPr>
                <w:rFonts w:ascii="Times New Roman" w:hAnsi="Times New Roman" w:cs="Times New Roman"/>
                <w:b/>
                <w:i/>
                <w:sz w:val="26"/>
                <w:szCs w:val="26"/>
              </w:rPr>
            </w:pPr>
            <w:r w:rsidRPr="00284585">
              <w:rPr>
                <w:rFonts w:ascii="Times New Roman" w:hAnsi="Times New Roman" w:cs="Times New Roman"/>
                <w:b/>
                <w:i/>
                <w:sz w:val="26"/>
                <w:szCs w:val="26"/>
              </w:rPr>
              <w:t>Zion</w:t>
            </w:r>
          </w:p>
        </w:tc>
      </w:tr>
      <w:tr w:rsidR="008F6902" w:rsidRPr="00284585" w:rsidTr="00F65EEE">
        <w:tc>
          <w:tcPr>
            <w:tcW w:w="2790" w:type="dxa"/>
            <w:tcBorders>
              <w:top w:val="single" w:sz="4" w:space="0" w:color="808080" w:themeColor="background1" w:themeShade="80"/>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Manse</w:t>
            </w:r>
          </w:p>
        </w:tc>
        <w:tc>
          <w:tcPr>
            <w:tcW w:w="1800" w:type="dxa"/>
            <w:tcBorders>
              <w:top w:val="single" w:sz="4" w:space="0" w:color="808080" w:themeColor="background1" w:themeShade="80"/>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$178,032</w:t>
            </w:r>
          </w:p>
        </w:tc>
        <w:tc>
          <w:tcPr>
            <w:tcW w:w="2430" w:type="dxa"/>
            <w:tcBorders>
              <w:top w:val="single" w:sz="4" w:space="0" w:color="808080" w:themeColor="background1" w:themeShade="80"/>
              <w:bottom w:val="dotted" w:sz="4" w:space="0" w:color="auto"/>
            </w:tcBorders>
          </w:tcPr>
          <w:p w:rsidR="008F6902" w:rsidRPr="00284585" w:rsidRDefault="008F6902" w:rsidP="00AC4AD3">
            <w:pPr>
              <w:spacing w:before="120"/>
              <w:rPr>
                <w:rFonts w:ascii="Times New Roman" w:hAnsi="Times New Roman" w:cs="Times New Roman"/>
                <w:sz w:val="26"/>
                <w:szCs w:val="26"/>
              </w:rPr>
            </w:pPr>
          </w:p>
        </w:tc>
        <w:tc>
          <w:tcPr>
            <w:tcW w:w="3240" w:type="dxa"/>
            <w:tcBorders>
              <w:top w:val="single" w:sz="4" w:space="0" w:color="808080" w:themeColor="background1" w:themeShade="80"/>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$69,263</w:t>
            </w:r>
          </w:p>
        </w:tc>
      </w:tr>
      <w:tr w:rsidR="008F6902" w:rsidRPr="00284585" w:rsidTr="00F65EEE">
        <w:tc>
          <w:tcPr>
            <w:tcW w:w="279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Cemetery Account</w:t>
            </w:r>
          </w:p>
        </w:tc>
        <w:tc>
          <w:tcPr>
            <w:tcW w:w="180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37,994</w:t>
            </w:r>
          </w:p>
        </w:tc>
        <w:tc>
          <w:tcPr>
            <w:tcW w:w="2430" w:type="dxa"/>
            <w:tcBorders>
              <w:top w:val="dotted" w:sz="4" w:space="0" w:color="auto"/>
              <w:bottom w:val="dotted" w:sz="4" w:space="0" w:color="auto"/>
            </w:tcBorders>
          </w:tcPr>
          <w:p w:rsidR="008F6902" w:rsidRPr="00284585" w:rsidRDefault="008F6902" w:rsidP="008F6902">
            <w:pPr>
              <w:spacing w:before="120"/>
              <w:jc w:val="right"/>
              <w:rPr>
                <w:rFonts w:ascii="Times New Roman" w:hAnsi="Times New Roman" w:cs="Times New Roman"/>
                <w:sz w:val="26"/>
                <w:szCs w:val="26"/>
              </w:rPr>
            </w:pPr>
            <w:r w:rsidRPr="00284585">
              <w:rPr>
                <w:rFonts w:ascii="Times New Roman" w:hAnsi="Times New Roman" w:cs="Times New Roman"/>
                <w:sz w:val="26"/>
                <w:szCs w:val="26"/>
              </w:rPr>
              <w:t>Trust Funds</w:t>
            </w:r>
          </w:p>
        </w:tc>
        <w:tc>
          <w:tcPr>
            <w:tcW w:w="324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$10,107</w:t>
            </w:r>
          </w:p>
        </w:tc>
      </w:tr>
      <w:tr w:rsidR="008F6902" w:rsidRPr="00284585" w:rsidTr="00F65EEE">
        <w:tc>
          <w:tcPr>
            <w:tcW w:w="279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Cemetery P.P. Care</w:t>
            </w:r>
          </w:p>
        </w:tc>
        <w:tc>
          <w:tcPr>
            <w:tcW w:w="180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$193,114</w:t>
            </w:r>
          </w:p>
        </w:tc>
        <w:tc>
          <w:tcPr>
            <w:tcW w:w="243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p>
        </w:tc>
        <w:tc>
          <w:tcPr>
            <w:tcW w:w="3240" w:type="dxa"/>
            <w:tcBorders>
              <w:top w:val="dotted" w:sz="4" w:space="0" w:color="auto"/>
              <w:bottom w:val="dotted" w:sz="4" w:space="0" w:color="auto"/>
            </w:tcBorders>
          </w:tcPr>
          <w:p w:rsidR="008F6902" w:rsidRPr="00284585" w:rsidRDefault="008F6902" w:rsidP="00AC4AD3">
            <w:pPr>
              <w:spacing w:before="120"/>
              <w:rPr>
                <w:rFonts w:ascii="Times New Roman" w:hAnsi="Times New Roman" w:cs="Times New Roman"/>
                <w:sz w:val="26"/>
                <w:szCs w:val="26"/>
              </w:rPr>
            </w:pPr>
            <w:r w:rsidRPr="00284585">
              <w:rPr>
                <w:rFonts w:ascii="Times New Roman" w:hAnsi="Times New Roman" w:cs="Times New Roman"/>
                <w:sz w:val="26"/>
                <w:szCs w:val="26"/>
              </w:rPr>
              <w:t>$9,357</w:t>
            </w:r>
          </w:p>
        </w:tc>
      </w:tr>
    </w:tbl>
    <w:p w:rsidR="0011080A" w:rsidRPr="00DF6550" w:rsidRDefault="009D1E40" w:rsidP="008F6902">
      <w:pPr>
        <w:spacing w:before="240" w:after="0" w:line="240" w:lineRule="auto"/>
        <w:rPr>
          <w:rFonts w:ascii="Segoe UI" w:hAnsi="Segoe UI" w:cs="Segoe UI"/>
          <w:b/>
          <w:sz w:val="24"/>
          <w:szCs w:val="28"/>
        </w:rPr>
      </w:pPr>
      <w:r>
        <w:rPr>
          <w:rFonts w:ascii="Segoe UI" w:hAnsi="Segoe UI" w:cs="Segoe UI"/>
          <w:b/>
          <w:sz w:val="24"/>
          <w:szCs w:val="28"/>
        </w:rPr>
        <w:t>3.0</w:t>
      </w:r>
      <w:r>
        <w:rPr>
          <w:rFonts w:ascii="Segoe UI" w:hAnsi="Segoe UI" w:cs="Segoe UI"/>
          <w:b/>
          <w:sz w:val="24"/>
          <w:szCs w:val="28"/>
        </w:rPr>
        <w:tab/>
      </w:r>
      <w:r w:rsidR="008372F7" w:rsidRPr="00DF6550">
        <w:rPr>
          <w:rFonts w:ascii="Segoe UI" w:hAnsi="Segoe UI" w:cs="Segoe UI"/>
          <w:b/>
          <w:sz w:val="24"/>
          <w:szCs w:val="28"/>
        </w:rPr>
        <w:t xml:space="preserve">Local </w:t>
      </w:r>
      <w:r w:rsidR="0011080A" w:rsidRPr="00DF6550">
        <w:rPr>
          <w:rFonts w:ascii="Segoe UI" w:hAnsi="Segoe UI" w:cs="Segoe UI"/>
          <w:b/>
          <w:sz w:val="24"/>
          <w:szCs w:val="28"/>
        </w:rPr>
        <w:t>Finance</w:t>
      </w:r>
      <w:r w:rsidR="008372F7" w:rsidRPr="00DF6550">
        <w:rPr>
          <w:rFonts w:ascii="Segoe UI" w:hAnsi="Segoe UI" w:cs="Segoe UI"/>
          <w:b/>
          <w:sz w:val="24"/>
          <w:szCs w:val="28"/>
        </w:rPr>
        <w:t>s</w:t>
      </w:r>
    </w:p>
    <w:p w:rsidR="00DF1842" w:rsidRPr="00DF6550" w:rsidRDefault="00DF1842" w:rsidP="00A63672">
      <w:pPr>
        <w:spacing w:before="120" w:after="0" w:line="240" w:lineRule="auto"/>
        <w:rPr>
          <w:rFonts w:ascii="Times New Roman" w:hAnsi="Times New Roman" w:cs="Times New Roman"/>
          <w:sz w:val="24"/>
          <w:szCs w:val="28"/>
          <w:u w:val="single"/>
        </w:rPr>
      </w:pPr>
      <w:r w:rsidRPr="00DF6550">
        <w:rPr>
          <w:noProof/>
          <w:sz w:val="20"/>
          <w:lang w:val="en-US"/>
        </w:rPr>
        <w:drawing>
          <wp:inline distT="0" distB="0" distL="0" distR="0" wp14:anchorId="0CFE082C" wp14:editId="088C32DD">
            <wp:extent cx="6257925" cy="3533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5327" cy="3537750"/>
                    </a:xfrm>
                    <a:prstGeom prst="rect">
                      <a:avLst/>
                    </a:prstGeom>
                    <a:noFill/>
                    <a:ln>
                      <a:noFill/>
                    </a:ln>
                  </pic:spPr>
                </pic:pic>
              </a:graphicData>
            </a:graphic>
          </wp:inline>
        </w:drawing>
      </w:r>
    </w:p>
    <w:p w:rsidR="00DF1842" w:rsidRDefault="009D1E40" w:rsidP="00DF1842">
      <w:pPr>
        <w:spacing w:before="240" w:after="0" w:line="240" w:lineRule="auto"/>
        <w:rPr>
          <w:rFonts w:ascii="Times New Roman" w:hAnsi="Times New Roman" w:cs="Times New Roman"/>
          <w:sz w:val="24"/>
          <w:szCs w:val="28"/>
          <w:u w:val="single"/>
        </w:rPr>
      </w:pPr>
      <w:r>
        <w:rPr>
          <w:noProof/>
          <w:lang w:val="en-US"/>
        </w:rPr>
        <w:drawing>
          <wp:inline distT="0" distB="0" distL="0" distR="0" wp14:anchorId="1A3CE3BC" wp14:editId="7420FFFF">
            <wp:extent cx="6219825" cy="2743200"/>
            <wp:effectExtent l="38100" t="38100" r="85725" b="952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275" w:rsidRPr="00DF6550" w:rsidRDefault="00A43275" w:rsidP="009D1E40">
      <w:pPr>
        <w:spacing w:before="60" w:after="0" w:line="240" w:lineRule="auto"/>
        <w:jc w:val="center"/>
        <w:rPr>
          <w:rFonts w:ascii="Times New Roman" w:hAnsi="Times New Roman" w:cs="Times New Roman"/>
          <w:sz w:val="24"/>
          <w:szCs w:val="28"/>
          <w:u w:val="single"/>
        </w:rPr>
      </w:pPr>
      <w:r w:rsidRPr="00A43275">
        <w:rPr>
          <w:rFonts w:ascii="Times New Roman" w:hAnsi="Times New Roman" w:cs="Times New Roman"/>
          <w:i/>
          <w:sz w:val="24"/>
          <w:szCs w:val="28"/>
        </w:rPr>
        <w:t>Figure 4: Revenue, Expense</w:t>
      </w:r>
      <w:r w:rsidR="00B43767">
        <w:rPr>
          <w:rFonts w:ascii="Times New Roman" w:hAnsi="Times New Roman" w:cs="Times New Roman"/>
          <w:i/>
          <w:sz w:val="24"/>
          <w:szCs w:val="28"/>
        </w:rPr>
        <w:t>s</w:t>
      </w:r>
      <w:r w:rsidRPr="00A43275">
        <w:rPr>
          <w:rFonts w:ascii="Times New Roman" w:hAnsi="Times New Roman" w:cs="Times New Roman"/>
          <w:i/>
          <w:sz w:val="24"/>
          <w:szCs w:val="28"/>
        </w:rPr>
        <w:t xml:space="preserve"> </w:t>
      </w:r>
      <w:r w:rsidR="0062752B">
        <w:rPr>
          <w:rFonts w:ascii="Times New Roman" w:hAnsi="Times New Roman" w:cs="Times New Roman"/>
          <w:i/>
          <w:sz w:val="24"/>
          <w:szCs w:val="28"/>
        </w:rPr>
        <w:t>and</w:t>
      </w:r>
      <w:r w:rsidRPr="00A43275">
        <w:rPr>
          <w:rFonts w:ascii="Times New Roman" w:hAnsi="Times New Roman" w:cs="Times New Roman"/>
          <w:i/>
          <w:sz w:val="24"/>
          <w:szCs w:val="28"/>
        </w:rPr>
        <w:t xml:space="preserve"> Equity - St. Andrew's</w:t>
      </w:r>
    </w:p>
    <w:p w:rsidR="00DF1842" w:rsidRPr="00DF6550" w:rsidRDefault="00074546" w:rsidP="00DF1842">
      <w:pPr>
        <w:spacing w:before="240" w:after="0" w:line="240" w:lineRule="auto"/>
        <w:rPr>
          <w:rFonts w:ascii="Times New Roman" w:hAnsi="Times New Roman" w:cs="Times New Roman"/>
          <w:sz w:val="24"/>
          <w:szCs w:val="28"/>
          <w:u w:val="single"/>
        </w:rPr>
      </w:pPr>
      <w:r>
        <w:rPr>
          <w:noProof/>
          <w:lang w:val="en-US"/>
        </w:rPr>
        <w:lastRenderedPageBreak/>
        <w:drawing>
          <wp:inline distT="0" distB="0" distL="0" distR="0" wp14:anchorId="09608676" wp14:editId="13C2767C">
            <wp:extent cx="6296025" cy="2667000"/>
            <wp:effectExtent l="38100" t="38100" r="85725" b="952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1E40" w:rsidRPr="00DF6550" w:rsidRDefault="009D1E40" w:rsidP="009D1E40">
      <w:pPr>
        <w:spacing w:before="60" w:after="0" w:line="240" w:lineRule="auto"/>
        <w:jc w:val="center"/>
        <w:rPr>
          <w:rFonts w:ascii="Times New Roman" w:hAnsi="Times New Roman" w:cs="Times New Roman"/>
          <w:sz w:val="24"/>
          <w:szCs w:val="28"/>
          <w:u w:val="single"/>
        </w:rPr>
      </w:pPr>
      <w:r>
        <w:rPr>
          <w:rFonts w:ascii="Times New Roman" w:hAnsi="Times New Roman" w:cs="Times New Roman"/>
          <w:i/>
          <w:sz w:val="24"/>
          <w:szCs w:val="28"/>
        </w:rPr>
        <w:t>Figure 5</w:t>
      </w:r>
      <w:r w:rsidRPr="00A43275">
        <w:rPr>
          <w:rFonts w:ascii="Times New Roman" w:hAnsi="Times New Roman" w:cs="Times New Roman"/>
          <w:i/>
          <w:sz w:val="24"/>
          <w:szCs w:val="28"/>
        </w:rPr>
        <w:t>: Revenue, Expense</w:t>
      </w:r>
      <w:r w:rsidR="00B43767">
        <w:rPr>
          <w:rFonts w:ascii="Times New Roman" w:hAnsi="Times New Roman" w:cs="Times New Roman"/>
          <w:i/>
          <w:sz w:val="24"/>
          <w:szCs w:val="28"/>
        </w:rPr>
        <w:t>s</w:t>
      </w:r>
      <w:r w:rsidRPr="00A43275">
        <w:rPr>
          <w:rFonts w:ascii="Times New Roman" w:hAnsi="Times New Roman" w:cs="Times New Roman"/>
          <w:i/>
          <w:sz w:val="24"/>
          <w:szCs w:val="28"/>
        </w:rPr>
        <w:t xml:space="preserve"> &amp; Equity - </w:t>
      </w:r>
      <w:r>
        <w:rPr>
          <w:rFonts w:ascii="Times New Roman" w:hAnsi="Times New Roman" w:cs="Times New Roman"/>
          <w:i/>
          <w:sz w:val="24"/>
          <w:szCs w:val="28"/>
        </w:rPr>
        <w:t>Zion</w:t>
      </w:r>
    </w:p>
    <w:p w:rsidR="0011080A" w:rsidRPr="00284585" w:rsidRDefault="009D1E40" w:rsidP="009D1E40">
      <w:pPr>
        <w:spacing w:before="240" w:after="0" w:line="240" w:lineRule="auto"/>
        <w:rPr>
          <w:rFonts w:ascii="Segoe UI" w:hAnsi="Segoe UI" w:cs="Segoe UI"/>
          <w:b/>
          <w:sz w:val="26"/>
          <w:szCs w:val="26"/>
        </w:rPr>
      </w:pPr>
      <w:r w:rsidRPr="00284585">
        <w:rPr>
          <w:rFonts w:ascii="Segoe UI" w:hAnsi="Segoe UI" w:cs="Segoe UI"/>
          <w:b/>
          <w:sz w:val="26"/>
          <w:szCs w:val="26"/>
        </w:rPr>
        <w:t>4.0</w:t>
      </w:r>
      <w:r w:rsidRPr="00284585">
        <w:rPr>
          <w:rFonts w:ascii="Segoe UI" w:hAnsi="Segoe UI" w:cs="Segoe UI"/>
          <w:b/>
          <w:sz w:val="26"/>
          <w:szCs w:val="26"/>
        </w:rPr>
        <w:tab/>
      </w:r>
      <w:r w:rsidR="0011080A" w:rsidRPr="00284585">
        <w:rPr>
          <w:rFonts w:ascii="Segoe UI" w:hAnsi="Segoe UI" w:cs="Segoe UI"/>
          <w:b/>
          <w:sz w:val="26"/>
          <w:szCs w:val="26"/>
        </w:rPr>
        <w:t>Religious Trends in Canada</w:t>
      </w:r>
    </w:p>
    <w:p w:rsidR="00230CF2" w:rsidRPr="00284585" w:rsidRDefault="00230CF2" w:rsidP="00A63672">
      <w:pPr>
        <w:pStyle w:val="selectionshareable"/>
        <w:shd w:val="clear" w:color="auto" w:fill="FFFFFF"/>
        <w:spacing w:before="120" w:beforeAutospacing="0" w:after="0" w:afterAutospacing="0"/>
        <w:ind w:firstLine="720"/>
        <w:textAlignment w:val="baseline"/>
        <w:rPr>
          <w:color w:val="000000"/>
          <w:sz w:val="26"/>
          <w:szCs w:val="26"/>
        </w:rPr>
      </w:pPr>
      <w:r w:rsidRPr="00284585">
        <w:rPr>
          <w:color w:val="000000"/>
          <w:sz w:val="26"/>
          <w:szCs w:val="26"/>
        </w:rPr>
        <w:t>The Canadian religious lan</w:t>
      </w:r>
      <w:r w:rsidR="00061242" w:rsidRPr="00284585">
        <w:rPr>
          <w:color w:val="000000"/>
          <w:sz w:val="26"/>
          <w:szCs w:val="26"/>
        </w:rPr>
        <w:t xml:space="preserve">dscape is changing dramatically, </w:t>
      </w:r>
      <w:r w:rsidRPr="00284585">
        <w:rPr>
          <w:color w:val="000000"/>
          <w:sz w:val="26"/>
          <w:szCs w:val="26"/>
        </w:rPr>
        <w:t xml:space="preserve">and it is changing rapidly.  It is a challenge for the church to not only be aware of the changes, but to also choose between adjusting its self-identity to accommodate the changes, or reducing its expectations of the place the Church ought to have in Canadian culture. </w:t>
      </w:r>
    </w:p>
    <w:p w:rsidR="00230CF2" w:rsidRPr="00284585" w:rsidRDefault="00230CF2" w:rsidP="00A63672">
      <w:pPr>
        <w:pStyle w:val="selectionshareable"/>
        <w:shd w:val="clear" w:color="auto" w:fill="FFFFFF"/>
        <w:spacing w:before="120" w:beforeAutospacing="0" w:after="0" w:afterAutospacing="0"/>
        <w:ind w:firstLine="720"/>
        <w:textAlignment w:val="baseline"/>
        <w:rPr>
          <w:color w:val="000000"/>
          <w:sz w:val="26"/>
          <w:szCs w:val="26"/>
        </w:rPr>
      </w:pPr>
      <w:r w:rsidRPr="00284585">
        <w:rPr>
          <w:color w:val="000000"/>
          <w:sz w:val="26"/>
          <w:szCs w:val="26"/>
        </w:rPr>
        <w:t xml:space="preserve">The most striking changes are not the result of immigration and the imposition of the religious heritage from immigrant’s countries of origin.  Such moderate changes are occurring predominantly in urban areas, with only an incremental impact on the Canadian ethos and identity.  The 2011 Statistics Canada Census ascertained that only 7 % of Canadians identified as Muslim, Hindu, Sikh or Buddhist.  This is up from </w:t>
      </w:r>
      <w:r w:rsidR="00061242" w:rsidRPr="00284585">
        <w:rPr>
          <w:color w:val="000000"/>
          <w:sz w:val="26"/>
          <w:szCs w:val="26"/>
        </w:rPr>
        <w:t>5</w:t>
      </w:r>
      <w:r w:rsidRPr="00284585">
        <w:rPr>
          <w:color w:val="000000"/>
          <w:sz w:val="26"/>
          <w:szCs w:val="26"/>
        </w:rPr>
        <w:t xml:space="preserve">% a decade earlier.  In 2011, Roman Catholics comprise 38% of the Canadian population, by far the largest Christian denomination.  The United Church was second at about 6%, followed closely by Anglicans at about 5%.  The most striking find in the 2011 Census was that the largest growing religious designation in the decade </w:t>
      </w:r>
      <w:r w:rsidR="00061242" w:rsidRPr="00284585">
        <w:rPr>
          <w:color w:val="000000"/>
          <w:sz w:val="26"/>
          <w:szCs w:val="26"/>
        </w:rPr>
        <w:t>since</w:t>
      </w:r>
      <w:r w:rsidRPr="00284585">
        <w:rPr>
          <w:color w:val="000000"/>
          <w:sz w:val="26"/>
          <w:szCs w:val="26"/>
        </w:rPr>
        <w:t xml:space="preserve"> 2001 was the group who identified themselves as having ‘no religious affiliation’.  Indeed, 2</w:t>
      </w:r>
      <w:r w:rsidR="00061242" w:rsidRPr="00284585">
        <w:rPr>
          <w:color w:val="000000"/>
          <w:sz w:val="26"/>
          <w:szCs w:val="26"/>
        </w:rPr>
        <w:t>4</w:t>
      </w:r>
      <w:r w:rsidRPr="00284585">
        <w:rPr>
          <w:color w:val="000000"/>
          <w:sz w:val="26"/>
          <w:szCs w:val="26"/>
        </w:rPr>
        <w:t>% of the Canadian population now identified as ‘no religious affiliation’. This is up from 1</w:t>
      </w:r>
      <w:r w:rsidR="00061242" w:rsidRPr="00284585">
        <w:rPr>
          <w:color w:val="000000"/>
          <w:sz w:val="26"/>
          <w:szCs w:val="26"/>
        </w:rPr>
        <w:t>7</w:t>
      </w:r>
      <w:r w:rsidRPr="00284585">
        <w:rPr>
          <w:color w:val="000000"/>
          <w:sz w:val="26"/>
          <w:szCs w:val="26"/>
        </w:rPr>
        <w:t xml:space="preserve">% in 2001.  The dramatic growth in those with no religion and the marginal growth in non-traditional religions </w:t>
      </w:r>
      <w:proofErr w:type="gramStart"/>
      <w:r w:rsidRPr="00284585">
        <w:rPr>
          <w:color w:val="000000"/>
          <w:sz w:val="26"/>
          <w:szCs w:val="26"/>
        </w:rPr>
        <w:t>translates</w:t>
      </w:r>
      <w:proofErr w:type="gramEnd"/>
      <w:r w:rsidRPr="00284585">
        <w:rPr>
          <w:color w:val="000000"/>
          <w:sz w:val="26"/>
          <w:szCs w:val="26"/>
        </w:rPr>
        <w:t xml:space="preserve"> into a corresponding decrease in number claiming a Christian affiliation, especially for mainline churches.</w:t>
      </w:r>
      <w:r w:rsidR="00F90449" w:rsidRPr="00284585">
        <w:rPr>
          <w:rStyle w:val="FootnoteReference"/>
          <w:color w:val="000000"/>
          <w:sz w:val="26"/>
          <w:szCs w:val="26"/>
        </w:rPr>
        <w:footnoteReference w:id="2"/>
      </w:r>
      <w:r w:rsidRPr="00284585">
        <w:rPr>
          <w:color w:val="000000"/>
          <w:sz w:val="26"/>
          <w:szCs w:val="26"/>
        </w:rPr>
        <w:t xml:space="preserve">   Our United Church experienced an 8% decline in those claiming United Church affiliation from 1991 to 2001.  From 2001 to 2011 we experienced a 29% reduction.  The decline was across all ages, but the elderly are not being replaced by young adults. </w:t>
      </w:r>
      <w:r w:rsidR="00F90449" w:rsidRPr="00284585">
        <w:rPr>
          <w:rStyle w:val="FootnoteReference"/>
          <w:color w:val="000000"/>
          <w:sz w:val="26"/>
          <w:szCs w:val="26"/>
        </w:rPr>
        <w:footnoteReference w:id="3"/>
      </w:r>
    </w:p>
    <w:p w:rsidR="00230CF2" w:rsidRPr="00284585" w:rsidRDefault="00230CF2" w:rsidP="00A63672">
      <w:pPr>
        <w:pStyle w:val="selectionshareable"/>
        <w:shd w:val="clear" w:color="auto" w:fill="FFFFFF"/>
        <w:spacing w:before="120" w:beforeAutospacing="0" w:after="0" w:afterAutospacing="0"/>
        <w:ind w:firstLine="720"/>
        <w:textAlignment w:val="baseline"/>
        <w:rPr>
          <w:color w:val="000000"/>
          <w:sz w:val="26"/>
          <w:szCs w:val="26"/>
        </w:rPr>
      </w:pPr>
      <w:r w:rsidRPr="00284585">
        <w:rPr>
          <w:color w:val="000000"/>
          <w:sz w:val="26"/>
          <w:szCs w:val="26"/>
        </w:rPr>
        <w:t xml:space="preserve">A closer look at those unaffiliated is warranted.  In 1971 those with no religious affiliation comprised a mere 4% of the Canadian population.  From 1971 to 2011 the number of Canadian Protestants dropped from 41% of the population to 27%.  In those 40 years Catholics dropped from 47% to 38% of the population.  There has been a steady growth in all age groups identifying as non-affiliated, but the largest percentage of any age group are </w:t>
      </w:r>
      <w:r w:rsidRPr="00284585">
        <w:rPr>
          <w:color w:val="000000"/>
          <w:sz w:val="26"/>
          <w:szCs w:val="26"/>
        </w:rPr>
        <w:lastRenderedPageBreak/>
        <w:t>those born since 1987, and the age group with the largest growth in non-affiliation are those born between</w:t>
      </w:r>
      <w:r w:rsidR="00DF1842" w:rsidRPr="00284585">
        <w:rPr>
          <w:color w:val="000000"/>
          <w:sz w:val="26"/>
          <w:szCs w:val="26"/>
        </w:rPr>
        <w:t xml:space="preserve"> the years</w:t>
      </w:r>
      <w:r w:rsidRPr="00284585">
        <w:rPr>
          <w:color w:val="000000"/>
          <w:sz w:val="26"/>
          <w:szCs w:val="26"/>
        </w:rPr>
        <w:t xml:space="preserve"> 1946 and 1964 (those 52-70).  Those claiming non-affiliation are more likely to be men, unmarried and with more academic education. </w:t>
      </w:r>
      <w:r w:rsidR="00F90449" w:rsidRPr="00284585">
        <w:rPr>
          <w:rStyle w:val="FootnoteReference"/>
          <w:color w:val="000000"/>
          <w:sz w:val="26"/>
          <w:szCs w:val="26"/>
        </w:rPr>
        <w:footnoteReference w:id="4"/>
      </w:r>
    </w:p>
    <w:p w:rsidR="00230CF2" w:rsidRPr="00284585" w:rsidRDefault="00230CF2" w:rsidP="00A63672">
      <w:pPr>
        <w:pStyle w:val="selectionshareable"/>
        <w:shd w:val="clear" w:color="auto" w:fill="FFFFFF"/>
        <w:spacing w:before="120" w:beforeAutospacing="0" w:after="0" w:afterAutospacing="0"/>
        <w:ind w:firstLine="720"/>
        <w:textAlignment w:val="baseline"/>
        <w:rPr>
          <w:color w:val="000000"/>
          <w:sz w:val="26"/>
          <w:szCs w:val="26"/>
          <w:vertAlign w:val="superscript"/>
        </w:rPr>
      </w:pPr>
      <w:r w:rsidRPr="00284585">
        <w:rPr>
          <w:color w:val="000000"/>
          <w:sz w:val="26"/>
          <w:szCs w:val="26"/>
        </w:rPr>
        <w:t xml:space="preserve">Locally, we are seeing these trends in terms of those present at religious events or those seeking out the Church for spiritual comfort and insight. </w:t>
      </w:r>
      <w:r w:rsidR="00861093" w:rsidRPr="00284585">
        <w:rPr>
          <w:color w:val="000000"/>
          <w:sz w:val="26"/>
          <w:szCs w:val="26"/>
        </w:rPr>
        <w:t xml:space="preserve"> Support </w:t>
      </w:r>
      <w:r w:rsidRPr="00284585">
        <w:rPr>
          <w:color w:val="000000"/>
          <w:sz w:val="26"/>
          <w:szCs w:val="26"/>
        </w:rPr>
        <w:t xml:space="preserve">for the church </w:t>
      </w:r>
      <w:r w:rsidR="00861093" w:rsidRPr="00284585">
        <w:rPr>
          <w:color w:val="000000"/>
          <w:sz w:val="26"/>
          <w:szCs w:val="26"/>
        </w:rPr>
        <w:t xml:space="preserve">persists so that: </w:t>
      </w:r>
      <w:r w:rsidRPr="00284585">
        <w:rPr>
          <w:color w:val="000000"/>
          <w:sz w:val="26"/>
          <w:szCs w:val="26"/>
        </w:rPr>
        <w:t xml:space="preserve">a) the church and its ministries </w:t>
      </w:r>
      <w:r w:rsidR="00861093" w:rsidRPr="00284585">
        <w:rPr>
          <w:color w:val="000000"/>
          <w:sz w:val="26"/>
          <w:szCs w:val="26"/>
        </w:rPr>
        <w:t xml:space="preserve">will </w:t>
      </w:r>
      <w:r w:rsidRPr="00284585">
        <w:rPr>
          <w:color w:val="000000"/>
          <w:sz w:val="26"/>
          <w:szCs w:val="26"/>
        </w:rPr>
        <w:t xml:space="preserve">be available when personal needs arise; b) </w:t>
      </w:r>
      <w:r w:rsidR="00861093" w:rsidRPr="00284585">
        <w:rPr>
          <w:color w:val="000000"/>
          <w:sz w:val="26"/>
          <w:szCs w:val="26"/>
        </w:rPr>
        <w:t xml:space="preserve">the Church’s value and meaning will be </w:t>
      </w:r>
      <w:r w:rsidRPr="00284585">
        <w:rPr>
          <w:color w:val="000000"/>
          <w:sz w:val="26"/>
          <w:szCs w:val="26"/>
        </w:rPr>
        <w:t>preserve</w:t>
      </w:r>
      <w:r w:rsidR="00861093" w:rsidRPr="00284585">
        <w:rPr>
          <w:color w:val="000000"/>
          <w:sz w:val="26"/>
          <w:szCs w:val="26"/>
        </w:rPr>
        <w:t>d</w:t>
      </w:r>
      <w:r w:rsidRPr="00284585">
        <w:rPr>
          <w:color w:val="000000"/>
          <w:sz w:val="26"/>
          <w:szCs w:val="26"/>
        </w:rPr>
        <w:t xml:space="preserve">, or c) the church </w:t>
      </w:r>
      <w:r w:rsidR="00061242" w:rsidRPr="00284585">
        <w:rPr>
          <w:color w:val="000000"/>
          <w:sz w:val="26"/>
          <w:szCs w:val="26"/>
        </w:rPr>
        <w:t xml:space="preserve">is seen as having an </w:t>
      </w:r>
      <w:r w:rsidRPr="00284585">
        <w:rPr>
          <w:color w:val="000000"/>
          <w:sz w:val="26"/>
          <w:szCs w:val="26"/>
        </w:rPr>
        <w:t xml:space="preserve">essential </w:t>
      </w:r>
      <w:r w:rsidR="000A6DA4" w:rsidRPr="00284585">
        <w:rPr>
          <w:color w:val="000000"/>
          <w:sz w:val="26"/>
          <w:szCs w:val="26"/>
        </w:rPr>
        <w:t xml:space="preserve">contribution to </w:t>
      </w:r>
      <w:r w:rsidR="00061242" w:rsidRPr="00284585">
        <w:rPr>
          <w:color w:val="000000"/>
          <w:sz w:val="26"/>
          <w:szCs w:val="26"/>
        </w:rPr>
        <w:t>the experience of community</w:t>
      </w:r>
      <w:r w:rsidRPr="00284585">
        <w:rPr>
          <w:color w:val="000000"/>
          <w:sz w:val="26"/>
          <w:szCs w:val="26"/>
        </w:rPr>
        <w:t>.</w:t>
      </w:r>
      <w:r w:rsidR="00F90449" w:rsidRPr="00284585">
        <w:rPr>
          <w:rStyle w:val="FootnoteReference"/>
          <w:color w:val="000000"/>
          <w:sz w:val="26"/>
          <w:szCs w:val="26"/>
        </w:rPr>
        <w:footnoteReference w:id="5"/>
      </w:r>
      <w:r w:rsidRPr="00284585">
        <w:rPr>
          <w:color w:val="000000"/>
          <w:sz w:val="26"/>
          <w:szCs w:val="26"/>
        </w:rPr>
        <w:t xml:space="preserve">  </w:t>
      </w:r>
      <w:r w:rsidR="000A6DA4" w:rsidRPr="00284585">
        <w:rPr>
          <w:color w:val="000000"/>
          <w:sz w:val="26"/>
          <w:szCs w:val="26"/>
        </w:rPr>
        <w:t xml:space="preserve">While </w:t>
      </w:r>
      <w:r w:rsidR="00061242" w:rsidRPr="00284585">
        <w:rPr>
          <w:color w:val="000000"/>
          <w:sz w:val="26"/>
          <w:szCs w:val="26"/>
        </w:rPr>
        <w:t xml:space="preserve">there is </w:t>
      </w:r>
      <w:r w:rsidRPr="00284585">
        <w:rPr>
          <w:color w:val="000000"/>
          <w:sz w:val="26"/>
          <w:szCs w:val="26"/>
        </w:rPr>
        <w:t xml:space="preserve">a growing distance from the </w:t>
      </w:r>
      <w:r w:rsidR="000A6DA4" w:rsidRPr="00284585">
        <w:rPr>
          <w:color w:val="000000"/>
          <w:sz w:val="26"/>
          <w:szCs w:val="26"/>
        </w:rPr>
        <w:t xml:space="preserve">historic </w:t>
      </w:r>
      <w:r w:rsidRPr="00284585">
        <w:rPr>
          <w:color w:val="000000"/>
          <w:sz w:val="26"/>
          <w:szCs w:val="26"/>
        </w:rPr>
        <w:t xml:space="preserve">religious </w:t>
      </w:r>
      <w:r w:rsidR="000A6DA4" w:rsidRPr="00284585">
        <w:rPr>
          <w:color w:val="000000"/>
          <w:sz w:val="26"/>
          <w:szCs w:val="26"/>
        </w:rPr>
        <w:t xml:space="preserve">perspective of </w:t>
      </w:r>
      <w:r w:rsidRPr="00284585">
        <w:rPr>
          <w:color w:val="000000"/>
          <w:sz w:val="26"/>
          <w:szCs w:val="26"/>
        </w:rPr>
        <w:t xml:space="preserve">the Church with which many can no longer identify, there is a continuing, </w:t>
      </w:r>
      <w:r w:rsidR="000A6DA4" w:rsidRPr="00284585">
        <w:rPr>
          <w:color w:val="000000"/>
          <w:sz w:val="26"/>
          <w:szCs w:val="26"/>
        </w:rPr>
        <w:t>even</w:t>
      </w:r>
      <w:r w:rsidRPr="00284585">
        <w:rPr>
          <w:color w:val="000000"/>
          <w:sz w:val="26"/>
          <w:szCs w:val="26"/>
        </w:rPr>
        <w:t xml:space="preserve"> tenacious grasp for the community aspects the institution and its traditions make possible.  While Zion has </w:t>
      </w:r>
      <w:r w:rsidR="000A6DA4" w:rsidRPr="00284585">
        <w:rPr>
          <w:color w:val="000000"/>
          <w:sz w:val="26"/>
          <w:szCs w:val="26"/>
        </w:rPr>
        <w:t xml:space="preserve">many </w:t>
      </w:r>
      <w:r w:rsidRPr="00284585">
        <w:rPr>
          <w:color w:val="000000"/>
          <w:sz w:val="26"/>
          <w:szCs w:val="26"/>
        </w:rPr>
        <w:t xml:space="preserve">young families this can be attributable to </w:t>
      </w:r>
      <w:r w:rsidR="000A6DA4" w:rsidRPr="00284585">
        <w:rPr>
          <w:color w:val="000000"/>
          <w:sz w:val="26"/>
          <w:szCs w:val="26"/>
        </w:rPr>
        <w:t xml:space="preserve">the </w:t>
      </w:r>
      <w:r w:rsidRPr="00284585">
        <w:rPr>
          <w:color w:val="000000"/>
          <w:sz w:val="26"/>
          <w:szCs w:val="26"/>
        </w:rPr>
        <w:t xml:space="preserve">strong Sunday </w:t>
      </w:r>
      <w:proofErr w:type="gramStart"/>
      <w:r w:rsidRPr="00284585">
        <w:rPr>
          <w:color w:val="000000"/>
          <w:sz w:val="26"/>
          <w:szCs w:val="26"/>
        </w:rPr>
        <w:t>School</w:t>
      </w:r>
      <w:proofErr w:type="gramEnd"/>
      <w:r w:rsidRPr="00284585">
        <w:rPr>
          <w:color w:val="000000"/>
          <w:sz w:val="26"/>
          <w:szCs w:val="26"/>
        </w:rPr>
        <w:t xml:space="preserve"> program and to the fact </w:t>
      </w:r>
      <w:r w:rsidR="000A6DA4" w:rsidRPr="00284585">
        <w:rPr>
          <w:color w:val="000000"/>
          <w:sz w:val="26"/>
          <w:szCs w:val="26"/>
        </w:rPr>
        <w:t xml:space="preserve">most </w:t>
      </w:r>
      <w:r w:rsidRPr="00284585">
        <w:rPr>
          <w:color w:val="000000"/>
          <w:sz w:val="26"/>
          <w:szCs w:val="26"/>
        </w:rPr>
        <w:t xml:space="preserve">of the parents have strong familial ties, community ties or both to the Church. </w:t>
      </w:r>
      <w:r w:rsidR="00061242" w:rsidRPr="00284585">
        <w:rPr>
          <w:color w:val="000000"/>
          <w:sz w:val="26"/>
          <w:szCs w:val="26"/>
        </w:rPr>
        <w:t xml:space="preserve"> At </w:t>
      </w:r>
      <w:r w:rsidRPr="00284585">
        <w:rPr>
          <w:color w:val="000000"/>
          <w:sz w:val="26"/>
          <w:szCs w:val="26"/>
        </w:rPr>
        <w:t>St. Andrew’s community is more diffuse and has not been able to maintain such strong ties, except at significant public events (suppers, events &amp; Christmas Eve).   Locally, like nationally and internationally, there has come to be less concern about belief and more emphasis on inclusion (belonging)</w:t>
      </w:r>
      <w:r w:rsidR="00185530" w:rsidRPr="00284585">
        <w:rPr>
          <w:color w:val="000000"/>
          <w:sz w:val="26"/>
          <w:szCs w:val="26"/>
        </w:rPr>
        <w:t>.</w:t>
      </w:r>
      <w:r w:rsidR="00F90449" w:rsidRPr="00284585">
        <w:rPr>
          <w:rStyle w:val="FootnoteReference"/>
          <w:color w:val="000000"/>
          <w:sz w:val="26"/>
          <w:szCs w:val="26"/>
        </w:rPr>
        <w:footnoteReference w:id="6"/>
      </w:r>
      <w:r w:rsidR="00061242" w:rsidRPr="00284585">
        <w:rPr>
          <w:color w:val="000000"/>
          <w:sz w:val="26"/>
          <w:szCs w:val="26"/>
        </w:rPr>
        <w:t xml:space="preserve">  </w:t>
      </w:r>
      <w:r w:rsidRPr="00284585">
        <w:rPr>
          <w:color w:val="000000"/>
          <w:sz w:val="26"/>
          <w:szCs w:val="26"/>
        </w:rPr>
        <w:t>Research also show</w:t>
      </w:r>
      <w:r w:rsidR="000A6DA4" w:rsidRPr="00284585">
        <w:rPr>
          <w:color w:val="000000"/>
          <w:sz w:val="26"/>
          <w:szCs w:val="26"/>
        </w:rPr>
        <w:t>s</w:t>
      </w:r>
      <w:r w:rsidRPr="00284585">
        <w:rPr>
          <w:color w:val="000000"/>
          <w:sz w:val="26"/>
          <w:szCs w:val="26"/>
        </w:rPr>
        <w:t xml:space="preserve"> that humans are drawn to community and </w:t>
      </w:r>
      <w:r w:rsidR="000A6DA4" w:rsidRPr="00284585">
        <w:rPr>
          <w:color w:val="000000"/>
          <w:sz w:val="26"/>
          <w:szCs w:val="26"/>
        </w:rPr>
        <w:t xml:space="preserve">the </w:t>
      </w:r>
      <w:r w:rsidRPr="00284585">
        <w:rPr>
          <w:color w:val="000000"/>
          <w:sz w:val="26"/>
          <w:szCs w:val="26"/>
        </w:rPr>
        <w:t>comfort of shared ritual.</w:t>
      </w:r>
      <w:r w:rsidR="00F90449" w:rsidRPr="00284585">
        <w:rPr>
          <w:rStyle w:val="FootnoteReference"/>
          <w:color w:val="000000"/>
          <w:sz w:val="26"/>
          <w:szCs w:val="26"/>
        </w:rPr>
        <w:footnoteReference w:id="7"/>
      </w:r>
    </w:p>
    <w:p w:rsidR="002953CB" w:rsidRPr="00284585" w:rsidRDefault="00230CF2" w:rsidP="00A63672">
      <w:pPr>
        <w:pStyle w:val="selectionshareable"/>
        <w:shd w:val="clear" w:color="auto" w:fill="FFFFFF"/>
        <w:spacing w:before="120" w:beforeAutospacing="0" w:after="0" w:afterAutospacing="0"/>
        <w:ind w:firstLine="720"/>
        <w:textAlignment w:val="baseline"/>
        <w:rPr>
          <w:color w:val="000000"/>
          <w:sz w:val="26"/>
          <w:szCs w:val="26"/>
        </w:rPr>
      </w:pPr>
      <w:r w:rsidRPr="00284585">
        <w:rPr>
          <w:color w:val="000000"/>
          <w:sz w:val="26"/>
          <w:szCs w:val="26"/>
        </w:rPr>
        <w:t>The trajectory of these religious trends, suggest that the next decade for the Church will be dramatic for Zion, but especially for St. Andrew’s.  How can we adjust to the evolving future?  Or s</w:t>
      </w:r>
      <w:r w:rsidR="000A6DA4" w:rsidRPr="00284585">
        <w:rPr>
          <w:color w:val="000000"/>
          <w:sz w:val="26"/>
          <w:szCs w:val="26"/>
        </w:rPr>
        <w:t xml:space="preserve">hould we </w:t>
      </w:r>
      <w:r w:rsidRPr="00284585">
        <w:rPr>
          <w:color w:val="000000"/>
          <w:sz w:val="26"/>
          <w:szCs w:val="26"/>
        </w:rPr>
        <w:t xml:space="preserve">continue to meet the needs of those </w:t>
      </w:r>
      <w:r w:rsidR="000A6DA4" w:rsidRPr="00284585">
        <w:rPr>
          <w:color w:val="000000"/>
          <w:sz w:val="26"/>
          <w:szCs w:val="26"/>
        </w:rPr>
        <w:t xml:space="preserve">who </w:t>
      </w:r>
      <w:r w:rsidRPr="00284585">
        <w:rPr>
          <w:color w:val="000000"/>
          <w:sz w:val="26"/>
          <w:szCs w:val="26"/>
        </w:rPr>
        <w:t xml:space="preserve">remain for as long as we can?  </w:t>
      </w:r>
    </w:p>
    <w:p w:rsidR="0011080A" w:rsidRPr="00284585" w:rsidRDefault="009D1E40" w:rsidP="00A63672">
      <w:pPr>
        <w:spacing w:before="120" w:after="0" w:line="240" w:lineRule="auto"/>
        <w:rPr>
          <w:rFonts w:ascii="Segoe UI" w:hAnsi="Segoe UI" w:cs="Segoe UI"/>
          <w:b/>
          <w:sz w:val="26"/>
          <w:szCs w:val="26"/>
        </w:rPr>
      </w:pPr>
      <w:r w:rsidRPr="00284585">
        <w:rPr>
          <w:rFonts w:ascii="Segoe UI" w:hAnsi="Segoe UI" w:cs="Segoe UI"/>
          <w:b/>
          <w:sz w:val="26"/>
          <w:szCs w:val="26"/>
        </w:rPr>
        <w:t>5.0</w:t>
      </w:r>
      <w:r w:rsidRPr="00284585">
        <w:rPr>
          <w:rFonts w:ascii="Segoe UI" w:hAnsi="Segoe UI" w:cs="Segoe UI"/>
          <w:b/>
          <w:sz w:val="26"/>
          <w:szCs w:val="26"/>
        </w:rPr>
        <w:tab/>
      </w:r>
      <w:r w:rsidR="0011080A" w:rsidRPr="00284585">
        <w:rPr>
          <w:rFonts w:ascii="Segoe UI" w:hAnsi="Segoe UI" w:cs="Segoe UI"/>
          <w:b/>
          <w:sz w:val="26"/>
          <w:szCs w:val="26"/>
        </w:rPr>
        <w:t>A Look at Our Ministry</w:t>
      </w:r>
      <w:r w:rsidR="00D8647C" w:rsidRPr="00284585">
        <w:rPr>
          <w:rFonts w:ascii="Segoe UI" w:hAnsi="Segoe UI" w:cs="Segoe UI"/>
          <w:b/>
          <w:sz w:val="26"/>
          <w:szCs w:val="26"/>
        </w:rPr>
        <w:t xml:space="preserve"> </w:t>
      </w:r>
      <w:bookmarkStart w:id="0" w:name="_GoBack"/>
      <w:r w:rsidR="00D8647C" w:rsidRPr="0062752B">
        <w:rPr>
          <w:rFonts w:ascii="Segoe UI" w:hAnsi="Segoe UI" w:cs="Segoe UI"/>
          <w:sz w:val="26"/>
          <w:szCs w:val="26"/>
        </w:rPr>
        <w:t>(recent past and current reality)</w:t>
      </w:r>
      <w:bookmarkEnd w:id="0"/>
    </w:p>
    <w:p w:rsidR="008121D7" w:rsidRPr="00284585" w:rsidRDefault="008121D7" w:rsidP="00DF184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Our ministry occurs through the people of our Congregations as they live out their faith perspective.  The core of our financially supported ministry, like that of most churches, has been the maintenance of a church building, and the supply of a trained individual to lead the ministry of our Church community.  </w:t>
      </w:r>
      <w:r w:rsidR="00DD4848" w:rsidRPr="00284585">
        <w:rPr>
          <w:rFonts w:ascii="Times New Roman" w:hAnsi="Times New Roman" w:cs="Times New Roman"/>
          <w:sz w:val="26"/>
          <w:szCs w:val="26"/>
        </w:rPr>
        <w:t xml:space="preserve">However, it </w:t>
      </w:r>
      <w:r w:rsidRPr="00284585">
        <w:rPr>
          <w:rFonts w:ascii="Times New Roman" w:hAnsi="Times New Roman" w:cs="Times New Roman"/>
          <w:sz w:val="26"/>
          <w:szCs w:val="26"/>
        </w:rPr>
        <w:t xml:space="preserve">can </w:t>
      </w:r>
      <w:r w:rsidR="00DD4848" w:rsidRPr="00284585">
        <w:rPr>
          <w:rFonts w:ascii="Times New Roman" w:hAnsi="Times New Roman" w:cs="Times New Roman"/>
          <w:sz w:val="26"/>
          <w:szCs w:val="26"/>
        </w:rPr>
        <w:t xml:space="preserve">be that </w:t>
      </w:r>
      <w:r w:rsidRPr="00284585">
        <w:rPr>
          <w:rFonts w:ascii="Times New Roman" w:hAnsi="Times New Roman" w:cs="Times New Roman"/>
          <w:sz w:val="26"/>
          <w:szCs w:val="26"/>
        </w:rPr>
        <w:t xml:space="preserve">the bulk of our ministry occurs through individuals volunteering, promoting the church, or meeting needs in our local and wider community. </w:t>
      </w:r>
      <w:r w:rsidR="00DD4848" w:rsidRPr="00284585">
        <w:rPr>
          <w:rFonts w:ascii="Times New Roman" w:hAnsi="Times New Roman" w:cs="Times New Roman"/>
          <w:sz w:val="26"/>
          <w:szCs w:val="26"/>
        </w:rPr>
        <w:t>Often our ministry is at its best through the establishment, development and deepening of relationships.</w:t>
      </w:r>
    </w:p>
    <w:p w:rsidR="008121D7" w:rsidRPr="00284585" w:rsidRDefault="008121D7" w:rsidP="00DF184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We have inherited our church buildings and have cared for them to the best of our ability.  Zion, built in 1893, had its last major upgrade in 1964 with the Sunday </w:t>
      </w:r>
      <w:proofErr w:type="gramStart"/>
      <w:r w:rsidRPr="00284585">
        <w:rPr>
          <w:rFonts w:ascii="Times New Roman" w:hAnsi="Times New Roman" w:cs="Times New Roman"/>
          <w:sz w:val="26"/>
          <w:szCs w:val="26"/>
        </w:rPr>
        <w:t>School</w:t>
      </w:r>
      <w:proofErr w:type="gramEnd"/>
      <w:r w:rsidRPr="00284585">
        <w:rPr>
          <w:rFonts w:ascii="Times New Roman" w:hAnsi="Times New Roman" w:cs="Times New Roman"/>
          <w:sz w:val="26"/>
          <w:szCs w:val="26"/>
        </w:rPr>
        <w:t xml:space="preserve"> addition.  The building is not insulated and is used but once a week.  It’s anticipated in the next ten years periodic maintenance and upgrades will cost approximately </w:t>
      </w:r>
      <w:r w:rsidR="008D1DCB" w:rsidRPr="00284585">
        <w:rPr>
          <w:rFonts w:ascii="Times New Roman" w:hAnsi="Times New Roman" w:cs="Times New Roman"/>
          <w:sz w:val="26"/>
          <w:szCs w:val="26"/>
        </w:rPr>
        <w:t>7</w:t>
      </w:r>
      <w:r w:rsidR="00867212" w:rsidRPr="00284585">
        <w:rPr>
          <w:rFonts w:ascii="Times New Roman" w:hAnsi="Times New Roman" w:cs="Times New Roman"/>
          <w:sz w:val="26"/>
          <w:szCs w:val="26"/>
        </w:rPr>
        <w:t>8</w:t>
      </w:r>
      <w:r w:rsidRPr="00284585">
        <w:rPr>
          <w:rFonts w:ascii="Times New Roman" w:hAnsi="Times New Roman" w:cs="Times New Roman"/>
          <w:sz w:val="26"/>
          <w:szCs w:val="26"/>
        </w:rPr>
        <w:t xml:space="preserve">% of </w:t>
      </w:r>
      <w:r w:rsidR="00867212" w:rsidRPr="00284585">
        <w:rPr>
          <w:rFonts w:ascii="Times New Roman" w:hAnsi="Times New Roman" w:cs="Times New Roman"/>
          <w:sz w:val="26"/>
          <w:szCs w:val="26"/>
        </w:rPr>
        <w:t>the 2015 total expenses</w:t>
      </w:r>
      <w:r w:rsidR="00870F9B" w:rsidRPr="00284585">
        <w:rPr>
          <w:rFonts w:ascii="Times New Roman" w:hAnsi="Times New Roman" w:cs="Times New Roman"/>
          <w:sz w:val="26"/>
          <w:szCs w:val="26"/>
        </w:rPr>
        <w:t>.</w:t>
      </w:r>
      <w:r w:rsidR="00F90449" w:rsidRPr="00284585">
        <w:rPr>
          <w:rStyle w:val="FootnoteReference"/>
          <w:rFonts w:ascii="Times New Roman" w:hAnsi="Times New Roman" w:cs="Times New Roman"/>
          <w:sz w:val="26"/>
          <w:szCs w:val="26"/>
        </w:rPr>
        <w:footnoteReference w:id="8"/>
      </w:r>
      <w:r w:rsidR="00870F9B" w:rsidRPr="00284585">
        <w:rPr>
          <w:rFonts w:ascii="Times New Roman" w:hAnsi="Times New Roman" w:cs="Times New Roman"/>
          <w:sz w:val="26"/>
          <w:szCs w:val="26"/>
        </w:rPr>
        <w:t xml:space="preserve"> </w:t>
      </w:r>
      <w:r w:rsidR="003F792D" w:rsidRPr="00284585">
        <w:rPr>
          <w:rFonts w:ascii="Times New Roman" w:hAnsi="Times New Roman" w:cs="Times New Roman"/>
          <w:sz w:val="26"/>
          <w:szCs w:val="26"/>
        </w:rPr>
        <w:t xml:space="preserve"> Combining 2014 and 2015 </w:t>
      </w:r>
      <w:r w:rsidRPr="00284585">
        <w:rPr>
          <w:rFonts w:ascii="Times New Roman" w:hAnsi="Times New Roman" w:cs="Times New Roman"/>
          <w:sz w:val="26"/>
          <w:szCs w:val="26"/>
        </w:rPr>
        <w:t>the building’s regular maintenance t</w:t>
      </w:r>
      <w:r w:rsidR="003F792D" w:rsidRPr="00284585">
        <w:rPr>
          <w:rFonts w:ascii="Times New Roman" w:hAnsi="Times New Roman" w:cs="Times New Roman"/>
          <w:sz w:val="26"/>
          <w:szCs w:val="26"/>
        </w:rPr>
        <w:t>ook</w:t>
      </w:r>
      <w:r w:rsidR="00870F9B" w:rsidRPr="00284585">
        <w:rPr>
          <w:rFonts w:ascii="Times New Roman" w:hAnsi="Times New Roman" w:cs="Times New Roman"/>
          <w:sz w:val="26"/>
          <w:szCs w:val="26"/>
        </w:rPr>
        <w:t xml:space="preserve"> less than 10% of our </w:t>
      </w:r>
      <w:r w:rsidR="003F792D" w:rsidRPr="00284585">
        <w:rPr>
          <w:rFonts w:ascii="Times New Roman" w:hAnsi="Times New Roman" w:cs="Times New Roman"/>
          <w:sz w:val="26"/>
          <w:szCs w:val="26"/>
        </w:rPr>
        <w:t>total expenses</w:t>
      </w:r>
      <w:r w:rsidRPr="00284585">
        <w:rPr>
          <w:rFonts w:ascii="Times New Roman" w:hAnsi="Times New Roman" w:cs="Times New Roman"/>
          <w:sz w:val="26"/>
          <w:szCs w:val="26"/>
        </w:rPr>
        <w:t>.</w:t>
      </w:r>
      <w:r w:rsidR="00F90449" w:rsidRPr="00284585">
        <w:rPr>
          <w:rStyle w:val="FootnoteReference"/>
          <w:rFonts w:ascii="Times New Roman" w:hAnsi="Times New Roman" w:cs="Times New Roman"/>
          <w:sz w:val="26"/>
          <w:szCs w:val="26"/>
        </w:rPr>
        <w:footnoteReference w:id="9"/>
      </w:r>
      <w:r w:rsidRPr="00284585">
        <w:rPr>
          <w:rFonts w:ascii="Times New Roman" w:hAnsi="Times New Roman" w:cs="Times New Roman"/>
          <w:sz w:val="26"/>
          <w:szCs w:val="26"/>
        </w:rPr>
        <w:t xml:space="preserve">  </w:t>
      </w:r>
      <w:r w:rsidR="009326AE" w:rsidRPr="00284585">
        <w:rPr>
          <w:rFonts w:ascii="Times New Roman" w:hAnsi="Times New Roman" w:cs="Times New Roman"/>
          <w:sz w:val="26"/>
          <w:szCs w:val="26"/>
        </w:rPr>
        <w:t xml:space="preserve">Built in 1898, </w:t>
      </w:r>
      <w:r w:rsidRPr="00284585">
        <w:rPr>
          <w:rFonts w:ascii="Times New Roman" w:hAnsi="Times New Roman" w:cs="Times New Roman"/>
          <w:sz w:val="26"/>
          <w:szCs w:val="26"/>
        </w:rPr>
        <w:t xml:space="preserve">St. Andrew’s </w:t>
      </w:r>
      <w:r w:rsidR="009326AE" w:rsidRPr="00284585">
        <w:rPr>
          <w:rFonts w:ascii="Times New Roman" w:hAnsi="Times New Roman" w:cs="Times New Roman"/>
          <w:sz w:val="26"/>
          <w:szCs w:val="26"/>
        </w:rPr>
        <w:t xml:space="preserve">has had three significant upgrades (the windows, roof and </w:t>
      </w:r>
      <w:r w:rsidR="00DD4848" w:rsidRPr="00284585">
        <w:rPr>
          <w:rFonts w:ascii="Times New Roman" w:hAnsi="Times New Roman" w:cs="Times New Roman"/>
          <w:sz w:val="26"/>
          <w:szCs w:val="26"/>
        </w:rPr>
        <w:t>k</w:t>
      </w:r>
      <w:r w:rsidR="009326AE" w:rsidRPr="00284585">
        <w:rPr>
          <w:rFonts w:ascii="Times New Roman" w:hAnsi="Times New Roman" w:cs="Times New Roman"/>
          <w:sz w:val="26"/>
          <w:szCs w:val="26"/>
        </w:rPr>
        <w:t>itchen)</w:t>
      </w:r>
      <w:r w:rsidRPr="00284585">
        <w:rPr>
          <w:rFonts w:ascii="Times New Roman" w:hAnsi="Times New Roman" w:cs="Times New Roman"/>
          <w:sz w:val="26"/>
          <w:szCs w:val="26"/>
        </w:rPr>
        <w:t xml:space="preserve"> in the past 25 years.  The building is constantly heated, is used regularly by groups </w:t>
      </w:r>
      <w:r w:rsidR="009326AE" w:rsidRPr="00284585">
        <w:rPr>
          <w:rFonts w:ascii="Times New Roman" w:hAnsi="Times New Roman" w:cs="Times New Roman"/>
          <w:sz w:val="26"/>
          <w:szCs w:val="26"/>
        </w:rPr>
        <w:t>with</w:t>
      </w:r>
      <w:r w:rsidRPr="00284585">
        <w:rPr>
          <w:rFonts w:ascii="Times New Roman" w:hAnsi="Times New Roman" w:cs="Times New Roman"/>
          <w:sz w:val="26"/>
          <w:szCs w:val="26"/>
        </w:rPr>
        <w:t>in and beyond the Church community</w:t>
      </w:r>
      <w:r w:rsidR="008D1DCB" w:rsidRPr="00284585">
        <w:rPr>
          <w:rFonts w:ascii="Times New Roman" w:hAnsi="Times New Roman" w:cs="Times New Roman"/>
          <w:sz w:val="26"/>
          <w:szCs w:val="26"/>
        </w:rPr>
        <w:t xml:space="preserve">.  It is estimated that </w:t>
      </w:r>
      <w:r w:rsidR="008D1DCB" w:rsidRPr="00284585">
        <w:rPr>
          <w:rFonts w:ascii="Times New Roman" w:hAnsi="Times New Roman" w:cs="Times New Roman"/>
          <w:sz w:val="26"/>
          <w:szCs w:val="26"/>
        </w:rPr>
        <w:lastRenderedPageBreak/>
        <w:t>17</w:t>
      </w:r>
      <w:r w:rsidR="00867212" w:rsidRPr="00284585">
        <w:rPr>
          <w:rFonts w:ascii="Times New Roman" w:hAnsi="Times New Roman" w:cs="Times New Roman"/>
          <w:sz w:val="26"/>
          <w:szCs w:val="26"/>
        </w:rPr>
        <w:t>8</w:t>
      </w:r>
      <w:r w:rsidR="00185530" w:rsidRPr="00284585">
        <w:rPr>
          <w:rFonts w:ascii="Times New Roman" w:hAnsi="Times New Roman" w:cs="Times New Roman"/>
          <w:sz w:val="26"/>
          <w:szCs w:val="26"/>
        </w:rPr>
        <w:t xml:space="preserve">% of our </w:t>
      </w:r>
      <w:r w:rsidR="00867212" w:rsidRPr="00284585">
        <w:rPr>
          <w:rFonts w:ascii="Times New Roman" w:hAnsi="Times New Roman" w:cs="Times New Roman"/>
          <w:sz w:val="26"/>
          <w:szCs w:val="26"/>
        </w:rPr>
        <w:t>2015 expenses</w:t>
      </w:r>
      <w:r w:rsidR="00F90449" w:rsidRPr="00284585">
        <w:rPr>
          <w:rStyle w:val="FootnoteReference"/>
          <w:rFonts w:ascii="Times New Roman" w:hAnsi="Times New Roman" w:cs="Times New Roman"/>
          <w:sz w:val="26"/>
          <w:szCs w:val="26"/>
        </w:rPr>
        <w:footnoteReference w:id="10"/>
      </w:r>
      <w:r w:rsidRPr="00284585">
        <w:rPr>
          <w:rFonts w:ascii="Times New Roman" w:hAnsi="Times New Roman" w:cs="Times New Roman"/>
          <w:sz w:val="26"/>
          <w:szCs w:val="26"/>
        </w:rPr>
        <w:t xml:space="preserve"> will be required in the next ten years to meet periodic maintenance needs and upgrade</w:t>
      </w:r>
      <w:r w:rsidR="009326AE" w:rsidRPr="00284585">
        <w:rPr>
          <w:rFonts w:ascii="Times New Roman" w:hAnsi="Times New Roman" w:cs="Times New Roman"/>
          <w:sz w:val="26"/>
          <w:szCs w:val="26"/>
        </w:rPr>
        <w:t>s</w:t>
      </w:r>
      <w:r w:rsidR="00867212" w:rsidRPr="00284585">
        <w:rPr>
          <w:rFonts w:ascii="Times New Roman" w:hAnsi="Times New Roman" w:cs="Times New Roman"/>
          <w:sz w:val="26"/>
          <w:szCs w:val="26"/>
        </w:rPr>
        <w:t xml:space="preserve">.  Averaging the last years together, </w:t>
      </w:r>
      <w:r w:rsidRPr="00284585">
        <w:rPr>
          <w:rFonts w:ascii="Times New Roman" w:hAnsi="Times New Roman" w:cs="Times New Roman"/>
          <w:sz w:val="26"/>
          <w:szCs w:val="26"/>
        </w:rPr>
        <w:t>2</w:t>
      </w:r>
      <w:r w:rsidR="00867212" w:rsidRPr="00284585">
        <w:rPr>
          <w:rFonts w:ascii="Times New Roman" w:hAnsi="Times New Roman" w:cs="Times New Roman"/>
          <w:sz w:val="26"/>
          <w:szCs w:val="26"/>
        </w:rPr>
        <w:t>1</w:t>
      </w:r>
      <w:r w:rsidRPr="00284585">
        <w:rPr>
          <w:rFonts w:ascii="Times New Roman" w:hAnsi="Times New Roman" w:cs="Times New Roman"/>
          <w:sz w:val="26"/>
          <w:szCs w:val="26"/>
        </w:rPr>
        <w:t xml:space="preserve">% of our annual budget </w:t>
      </w:r>
      <w:r w:rsidR="00867212" w:rsidRPr="00284585">
        <w:rPr>
          <w:rFonts w:ascii="Times New Roman" w:hAnsi="Times New Roman" w:cs="Times New Roman"/>
          <w:sz w:val="26"/>
          <w:szCs w:val="26"/>
        </w:rPr>
        <w:t xml:space="preserve">has </w:t>
      </w:r>
      <w:r w:rsidRPr="00284585">
        <w:rPr>
          <w:rFonts w:ascii="Times New Roman" w:hAnsi="Times New Roman" w:cs="Times New Roman"/>
          <w:sz w:val="26"/>
          <w:szCs w:val="26"/>
        </w:rPr>
        <w:t>go</w:t>
      </w:r>
      <w:r w:rsidR="00C925F1" w:rsidRPr="00284585">
        <w:rPr>
          <w:rFonts w:ascii="Times New Roman" w:hAnsi="Times New Roman" w:cs="Times New Roman"/>
          <w:sz w:val="26"/>
          <w:szCs w:val="26"/>
        </w:rPr>
        <w:t>n</w:t>
      </w:r>
      <w:r w:rsidRPr="00284585">
        <w:rPr>
          <w:rFonts w:ascii="Times New Roman" w:hAnsi="Times New Roman" w:cs="Times New Roman"/>
          <w:sz w:val="26"/>
          <w:szCs w:val="26"/>
        </w:rPr>
        <w:t>e to regular</w:t>
      </w:r>
      <w:r w:rsidR="00870F9B" w:rsidRPr="00284585">
        <w:rPr>
          <w:rFonts w:ascii="Times New Roman" w:hAnsi="Times New Roman" w:cs="Times New Roman"/>
          <w:sz w:val="26"/>
          <w:szCs w:val="26"/>
        </w:rPr>
        <w:t xml:space="preserve"> maintenance</w:t>
      </w:r>
      <w:r w:rsidRPr="00284585">
        <w:rPr>
          <w:rFonts w:ascii="Times New Roman" w:hAnsi="Times New Roman" w:cs="Times New Roman"/>
          <w:sz w:val="26"/>
          <w:szCs w:val="26"/>
        </w:rPr>
        <w:t>.</w:t>
      </w:r>
      <w:r w:rsidR="00F90449" w:rsidRPr="00284585">
        <w:rPr>
          <w:rStyle w:val="FootnoteReference"/>
          <w:rFonts w:ascii="Times New Roman" w:hAnsi="Times New Roman" w:cs="Times New Roman"/>
          <w:sz w:val="26"/>
          <w:szCs w:val="26"/>
        </w:rPr>
        <w:footnoteReference w:id="11"/>
      </w:r>
      <w:r w:rsidR="00C925F1" w:rsidRPr="00284585">
        <w:rPr>
          <w:rFonts w:ascii="Times New Roman" w:hAnsi="Times New Roman" w:cs="Times New Roman"/>
          <w:sz w:val="26"/>
          <w:szCs w:val="26"/>
        </w:rPr>
        <w:t xml:space="preserve"> </w:t>
      </w:r>
      <w:r w:rsidR="00DD4848" w:rsidRPr="00284585">
        <w:rPr>
          <w:rFonts w:ascii="Times New Roman" w:hAnsi="Times New Roman" w:cs="Times New Roman"/>
          <w:sz w:val="26"/>
          <w:szCs w:val="26"/>
        </w:rPr>
        <w:t xml:space="preserve"> </w:t>
      </w:r>
      <w:r w:rsidR="00F90449" w:rsidRPr="00284585">
        <w:rPr>
          <w:rFonts w:ascii="Times New Roman" w:hAnsi="Times New Roman" w:cs="Times New Roman"/>
          <w:sz w:val="26"/>
          <w:szCs w:val="26"/>
        </w:rPr>
        <w:t>Paid staff requires</w:t>
      </w:r>
      <w:r w:rsidR="00C925F1" w:rsidRPr="00284585">
        <w:rPr>
          <w:rFonts w:ascii="Times New Roman" w:hAnsi="Times New Roman" w:cs="Times New Roman"/>
          <w:sz w:val="26"/>
          <w:szCs w:val="26"/>
        </w:rPr>
        <w:t xml:space="preserve"> even mor</w:t>
      </w:r>
      <w:r w:rsidR="00F90449" w:rsidRPr="00284585">
        <w:rPr>
          <w:rFonts w:ascii="Times New Roman" w:hAnsi="Times New Roman" w:cs="Times New Roman"/>
          <w:sz w:val="26"/>
          <w:szCs w:val="26"/>
        </w:rPr>
        <w:t>e of our financial resources</w:t>
      </w:r>
      <w:r w:rsidR="00DD4848" w:rsidRPr="00284585">
        <w:rPr>
          <w:rFonts w:ascii="Times New Roman" w:hAnsi="Times New Roman" w:cs="Times New Roman"/>
          <w:sz w:val="26"/>
          <w:szCs w:val="26"/>
        </w:rPr>
        <w:t xml:space="preserve">. </w:t>
      </w:r>
    </w:p>
    <w:p w:rsidR="008121D7" w:rsidRPr="00284585" w:rsidRDefault="008121D7" w:rsidP="00DF184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Historically, our Pastoral Charge has hired a full-time Ordained Minister.  That minister prepared and led </w:t>
      </w:r>
      <w:r w:rsidR="00DD4848" w:rsidRPr="00284585">
        <w:rPr>
          <w:rFonts w:ascii="Times New Roman" w:hAnsi="Times New Roman" w:cs="Times New Roman"/>
          <w:sz w:val="26"/>
          <w:szCs w:val="26"/>
        </w:rPr>
        <w:t xml:space="preserve">the </w:t>
      </w:r>
      <w:r w:rsidRPr="00284585">
        <w:rPr>
          <w:rFonts w:ascii="Times New Roman" w:hAnsi="Times New Roman" w:cs="Times New Roman"/>
          <w:sz w:val="26"/>
          <w:szCs w:val="26"/>
        </w:rPr>
        <w:t xml:space="preserve">community’s worship experiences, assisted with administration, </w:t>
      </w:r>
      <w:r w:rsidR="009326AE" w:rsidRPr="00284585">
        <w:rPr>
          <w:rFonts w:ascii="Times New Roman" w:hAnsi="Times New Roman" w:cs="Times New Roman"/>
          <w:sz w:val="26"/>
          <w:szCs w:val="26"/>
        </w:rPr>
        <w:t>was</w:t>
      </w:r>
      <w:r w:rsidRPr="00284585">
        <w:rPr>
          <w:rFonts w:ascii="Times New Roman" w:hAnsi="Times New Roman" w:cs="Times New Roman"/>
          <w:sz w:val="26"/>
          <w:szCs w:val="26"/>
        </w:rPr>
        <w:t xml:space="preserve"> available for Baptisms, Weddings &amp; Funerals, provided Pastoral Care, </w:t>
      </w:r>
      <w:r w:rsidR="009326AE" w:rsidRPr="00284585">
        <w:rPr>
          <w:rFonts w:ascii="Times New Roman" w:hAnsi="Times New Roman" w:cs="Times New Roman"/>
          <w:sz w:val="26"/>
          <w:szCs w:val="26"/>
        </w:rPr>
        <w:t>was</w:t>
      </w:r>
      <w:r w:rsidRPr="00284585">
        <w:rPr>
          <w:rFonts w:ascii="Times New Roman" w:hAnsi="Times New Roman" w:cs="Times New Roman"/>
          <w:sz w:val="26"/>
          <w:szCs w:val="26"/>
        </w:rPr>
        <w:t xml:space="preserve"> a resource for Christian Education, Youth work and our Music program, and in addition, this individual led or participated in </w:t>
      </w:r>
      <w:r w:rsidR="009326AE" w:rsidRPr="00284585">
        <w:rPr>
          <w:rFonts w:ascii="Times New Roman" w:hAnsi="Times New Roman" w:cs="Times New Roman"/>
          <w:sz w:val="26"/>
          <w:szCs w:val="26"/>
        </w:rPr>
        <w:t xml:space="preserve">community </w:t>
      </w:r>
      <w:r w:rsidRPr="00284585">
        <w:rPr>
          <w:rFonts w:ascii="Times New Roman" w:hAnsi="Times New Roman" w:cs="Times New Roman"/>
          <w:sz w:val="26"/>
          <w:szCs w:val="26"/>
        </w:rPr>
        <w:t xml:space="preserve">outreach projects.  However since 1995, according to self-reporting for UCC National Statistics, our weekly </w:t>
      </w:r>
      <w:r w:rsidR="009326AE" w:rsidRPr="00284585">
        <w:rPr>
          <w:rFonts w:ascii="Times New Roman" w:hAnsi="Times New Roman" w:cs="Times New Roman"/>
          <w:sz w:val="26"/>
          <w:szCs w:val="26"/>
        </w:rPr>
        <w:t xml:space="preserve">Pastoral Charge Sunday worship </w:t>
      </w:r>
      <w:r w:rsidRPr="00284585">
        <w:rPr>
          <w:rFonts w:ascii="Times New Roman" w:hAnsi="Times New Roman" w:cs="Times New Roman"/>
          <w:sz w:val="26"/>
          <w:szCs w:val="26"/>
        </w:rPr>
        <w:t>attendance has fallen 5</w:t>
      </w:r>
      <w:r w:rsidR="00185530" w:rsidRPr="00284585">
        <w:rPr>
          <w:rFonts w:ascii="Times New Roman" w:hAnsi="Times New Roman" w:cs="Times New Roman"/>
          <w:sz w:val="26"/>
          <w:szCs w:val="26"/>
        </w:rPr>
        <w:t>0%</w:t>
      </w:r>
      <w:r w:rsidR="00F90449" w:rsidRPr="00284585">
        <w:rPr>
          <w:rStyle w:val="FootnoteReference"/>
          <w:rFonts w:ascii="Times New Roman" w:hAnsi="Times New Roman" w:cs="Times New Roman"/>
          <w:sz w:val="26"/>
          <w:szCs w:val="26"/>
        </w:rPr>
        <w:footnoteReference w:id="12"/>
      </w:r>
      <w:r w:rsidR="009326AE" w:rsidRPr="00284585">
        <w:rPr>
          <w:rFonts w:ascii="Times New Roman" w:hAnsi="Times New Roman" w:cs="Times New Roman"/>
          <w:sz w:val="26"/>
          <w:szCs w:val="26"/>
        </w:rPr>
        <w:t>;</w:t>
      </w:r>
      <w:r w:rsidRPr="00284585">
        <w:rPr>
          <w:rFonts w:ascii="Times New Roman" w:hAnsi="Times New Roman" w:cs="Times New Roman"/>
          <w:sz w:val="26"/>
          <w:szCs w:val="26"/>
        </w:rPr>
        <w:t xml:space="preserve"> the number of Baptisms, Weddings and Funerals expected of our clergy has declined from 28 in 1995 to 12</w:t>
      </w:r>
      <w:r w:rsidR="00870F9B" w:rsidRPr="00284585">
        <w:rPr>
          <w:rFonts w:ascii="Times New Roman" w:hAnsi="Times New Roman" w:cs="Times New Roman"/>
          <w:sz w:val="26"/>
          <w:szCs w:val="26"/>
        </w:rPr>
        <w:t xml:space="preserve"> in 2015</w:t>
      </w:r>
      <w:r w:rsidRPr="00284585">
        <w:rPr>
          <w:rFonts w:ascii="Times New Roman" w:hAnsi="Times New Roman" w:cs="Times New Roman"/>
          <w:sz w:val="26"/>
          <w:szCs w:val="26"/>
        </w:rPr>
        <w:t>.</w:t>
      </w:r>
      <w:r w:rsidR="00F90449" w:rsidRPr="00284585">
        <w:rPr>
          <w:rStyle w:val="FootnoteReference"/>
          <w:rFonts w:ascii="Times New Roman" w:hAnsi="Times New Roman" w:cs="Times New Roman"/>
          <w:sz w:val="26"/>
          <w:szCs w:val="26"/>
        </w:rPr>
        <w:footnoteReference w:id="13"/>
      </w:r>
      <w:r w:rsidR="00870F9B" w:rsidRPr="00284585">
        <w:rPr>
          <w:rFonts w:ascii="Times New Roman" w:hAnsi="Times New Roman" w:cs="Times New Roman"/>
          <w:sz w:val="26"/>
          <w:szCs w:val="26"/>
          <w:vertAlign w:val="superscript"/>
        </w:rPr>
        <w:t xml:space="preserve"> </w:t>
      </w:r>
      <w:r w:rsidRPr="00284585">
        <w:rPr>
          <w:rFonts w:ascii="Times New Roman" w:hAnsi="Times New Roman" w:cs="Times New Roman"/>
          <w:sz w:val="26"/>
          <w:szCs w:val="26"/>
        </w:rPr>
        <w:t xml:space="preserve">While Pastoral Care demands are unlimited, the expectations of </w:t>
      </w:r>
      <w:r w:rsidR="009326AE" w:rsidRPr="00284585">
        <w:rPr>
          <w:rFonts w:ascii="Times New Roman" w:hAnsi="Times New Roman" w:cs="Times New Roman"/>
          <w:sz w:val="26"/>
          <w:szCs w:val="26"/>
        </w:rPr>
        <w:t>our</w:t>
      </w:r>
      <w:r w:rsidRPr="00284585">
        <w:rPr>
          <w:rFonts w:ascii="Times New Roman" w:hAnsi="Times New Roman" w:cs="Times New Roman"/>
          <w:sz w:val="26"/>
          <w:szCs w:val="26"/>
        </w:rPr>
        <w:t xml:space="preserve"> clergyperson to be a resource to UCWs, Bible Studies and Youth work has declined or disappeared.  </w:t>
      </w:r>
      <w:r w:rsidR="00DD4848" w:rsidRPr="00284585">
        <w:rPr>
          <w:rFonts w:ascii="Times New Roman" w:hAnsi="Times New Roman" w:cs="Times New Roman"/>
          <w:sz w:val="26"/>
          <w:szCs w:val="26"/>
        </w:rPr>
        <w:t xml:space="preserve">In theory this should enable our </w:t>
      </w:r>
      <w:r w:rsidRPr="00284585">
        <w:rPr>
          <w:rFonts w:ascii="Times New Roman" w:hAnsi="Times New Roman" w:cs="Times New Roman"/>
          <w:sz w:val="26"/>
          <w:szCs w:val="26"/>
        </w:rPr>
        <w:t xml:space="preserve">minister </w:t>
      </w:r>
      <w:r w:rsidR="00DD4848" w:rsidRPr="00284585">
        <w:rPr>
          <w:rFonts w:ascii="Times New Roman" w:hAnsi="Times New Roman" w:cs="Times New Roman"/>
          <w:sz w:val="26"/>
          <w:szCs w:val="26"/>
        </w:rPr>
        <w:t>to</w:t>
      </w:r>
      <w:r w:rsidR="009326AE" w:rsidRPr="00284585">
        <w:rPr>
          <w:rFonts w:ascii="Times New Roman" w:hAnsi="Times New Roman" w:cs="Times New Roman"/>
          <w:sz w:val="26"/>
          <w:szCs w:val="26"/>
        </w:rPr>
        <w:t xml:space="preserve"> be a</w:t>
      </w:r>
      <w:r w:rsidR="00DD4848" w:rsidRPr="00284585">
        <w:rPr>
          <w:rFonts w:ascii="Times New Roman" w:hAnsi="Times New Roman" w:cs="Times New Roman"/>
          <w:sz w:val="26"/>
          <w:szCs w:val="26"/>
        </w:rPr>
        <w:t xml:space="preserve">vailable for </w:t>
      </w:r>
      <w:r w:rsidRPr="00284585">
        <w:rPr>
          <w:rFonts w:ascii="Times New Roman" w:hAnsi="Times New Roman" w:cs="Times New Roman"/>
          <w:sz w:val="26"/>
          <w:szCs w:val="26"/>
        </w:rPr>
        <w:t xml:space="preserve">more extensive Pastoral Care, better prepared Worship Experiences </w:t>
      </w:r>
      <w:r w:rsidR="009326AE" w:rsidRPr="00284585">
        <w:rPr>
          <w:rFonts w:ascii="Times New Roman" w:hAnsi="Times New Roman" w:cs="Times New Roman"/>
          <w:sz w:val="26"/>
          <w:szCs w:val="26"/>
        </w:rPr>
        <w:t>or provide more assistance to community</w:t>
      </w:r>
      <w:r w:rsidRPr="00284585">
        <w:rPr>
          <w:rFonts w:ascii="Times New Roman" w:hAnsi="Times New Roman" w:cs="Times New Roman"/>
          <w:sz w:val="26"/>
          <w:szCs w:val="26"/>
        </w:rPr>
        <w:t xml:space="preserve"> outreach projects.</w:t>
      </w:r>
    </w:p>
    <w:p w:rsidR="008121D7" w:rsidRPr="00284585" w:rsidRDefault="008121D7" w:rsidP="00DF184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Over the years </w:t>
      </w:r>
      <w:r w:rsidR="009326AE" w:rsidRPr="00284585">
        <w:rPr>
          <w:rFonts w:ascii="Times New Roman" w:hAnsi="Times New Roman" w:cs="Times New Roman"/>
          <w:sz w:val="26"/>
          <w:szCs w:val="26"/>
        </w:rPr>
        <w:t xml:space="preserve">our </w:t>
      </w:r>
      <w:r w:rsidRPr="00284585">
        <w:rPr>
          <w:rFonts w:ascii="Times New Roman" w:hAnsi="Times New Roman" w:cs="Times New Roman"/>
          <w:sz w:val="26"/>
          <w:szCs w:val="26"/>
        </w:rPr>
        <w:t xml:space="preserve">programs </w:t>
      </w:r>
      <w:r w:rsidR="009326AE" w:rsidRPr="00284585">
        <w:rPr>
          <w:rFonts w:ascii="Times New Roman" w:hAnsi="Times New Roman" w:cs="Times New Roman"/>
          <w:sz w:val="26"/>
          <w:szCs w:val="26"/>
        </w:rPr>
        <w:t xml:space="preserve">have </w:t>
      </w:r>
      <w:r w:rsidRPr="00284585">
        <w:rPr>
          <w:rFonts w:ascii="Times New Roman" w:hAnsi="Times New Roman" w:cs="Times New Roman"/>
          <w:sz w:val="26"/>
          <w:szCs w:val="26"/>
        </w:rPr>
        <w:t xml:space="preserve">met needs within the church or the larger community.  </w:t>
      </w:r>
      <w:r w:rsidR="009326AE" w:rsidRPr="00284585">
        <w:rPr>
          <w:rFonts w:ascii="Times New Roman" w:hAnsi="Times New Roman" w:cs="Times New Roman"/>
          <w:sz w:val="26"/>
          <w:szCs w:val="26"/>
        </w:rPr>
        <w:t xml:space="preserve">Most </w:t>
      </w:r>
      <w:r w:rsidRPr="00284585">
        <w:rPr>
          <w:rFonts w:ascii="Times New Roman" w:hAnsi="Times New Roman" w:cs="Times New Roman"/>
          <w:sz w:val="26"/>
          <w:szCs w:val="26"/>
        </w:rPr>
        <w:t xml:space="preserve">significant was the Five Arches Housing Project.  We have also provided UCW groups, Youth Groups, Music Groups and Study Groups.  </w:t>
      </w:r>
      <w:r w:rsidR="009326AE" w:rsidRPr="00284585">
        <w:rPr>
          <w:rFonts w:ascii="Times New Roman" w:hAnsi="Times New Roman" w:cs="Times New Roman"/>
          <w:sz w:val="26"/>
          <w:szCs w:val="26"/>
        </w:rPr>
        <w:t>Our Pastoral Care Team has done</w:t>
      </w:r>
      <w:r w:rsidRPr="00284585">
        <w:rPr>
          <w:rFonts w:ascii="Times New Roman" w:hAnsi="Times New Roman" w:cs="Times New Roman"/>
          <w:sz w:val="26"/>
          <w:szCs w:val="26"/>
        </w:rPr>
        <w:t xml:space="preserve"> significant</w:t>
      </w:r>
      <w:r w:rsidR="009326AE" w:rsidRPr="00284585">
        <w:rPr>
          <w:rFonts w:ascii="Times New Roman" w:hAnsi="Times New Roman" w:cs="Times New Roman"/>
          <w:sz w:val="26"/>
          <w:szCs w:val="26"/>
        </w:rPr>
        <w:t xml:space="preserve"> work</w:t>
      </w:r>
      <w:r w:rsidR="00DD4848" w:rsidRPr="00284585">
        <w:rPr>
          <w:rFonts w:ascii="Times New Roman" w:hAnsi="Times New Roman" w:cs="Times New Roman"/>
          <w:sz w:val="26"/>
          <w:szCs w:val="26"/>
        </w:rPr>
        <w:t xml:space="preserve"> and continues to do so</w:t>
      </w:r>
      <w:r w:rsidRPr="00284585">
        <w:rPr>
          <w:rFonts w:ascii="Times New Roman" w:hAnsi="Times New Roman" w:cs="Times New Roman"/>
          <w:sz w:val="26"/>
          <w:szCs w:val="26"/>
        </w:rPr>
        <w:t>.  We have financially supported numerous local charities and responded to world disasters.  In addition we have been involved in a number of one time projects such as Habitat for Humanity and the CHEO Telethon.  Individuals and our clergy have assisted with comm</w:t>
      </w:r>
      <w:r w:rsidR="009326AE" w:rsidRPr="00284585">
        <w:rPr>
          <w:rFonts w:ascii="Times New Roman" w:hAnsi="Times New Roman" w:cs="Times New Roman"/>
          <w:sz w:val="26"/>
          <w:szCs w:val="26"/>
        </w:rPr>
        <w:t>unity projects such as Cemetery and</w:t>
      </w:r>
      <w:r w:rsidRPr="00284585">
        <w:rPr>
          <w:rFonts w:ascii="Times New Roman" w:hAnsi="Times New Roman" w:cs="Times New Roman"/>
          <w:sz w:val="26"/>
          <w:szCs w:val="26"/>
        </w:rPr>
        <w:t xml:space="preserve"> Remembrance Day </w:t>
      </w:r>
      <w:r w:rsidR="009326AE" w:rsidRPr="00284585">
        <w:rPr>
          <w:rFonts w:ascii="Times New Roman" w:hAnsi="Times New Roman" w:cs="Times New Roman"/>
          <w:sz w:val="26"/>
          <w:szCs w:val="26"/>
        </w:rPr>
        <w:t xml:space="preserve">Services, </w:t>
      </w:r>
      <w:r w:rsidRPr="00284585">
        <w:rPr>
          <w:rFonts w:ascii="Times New Roman" w:hAnsi="Times New Roman" w:cs="Times New Roman"/>
          <w:sz w:val="26"/>
          <w:szCs w:val="26"/>
        </w:rPr>
        <w:t xml:space="preserve">Frost Fest events, Parades, the local Fair, Light </w:t>
      </w:r>
      <w:proofErr w:type="gramStart"/>
      <w:r w:rsidRPr="00284585">
        <w:rPr>
          <w:rFonts w:ascii="Times New Roman" w:hAnsi="Times New Roman" w:cs="Times New Roman"/>
          <w:sz w:val="26"/>
          <w:szCs w:val="26"/>
        </w:rPr>
        <w:t>Up</w:t>
      </w:r>
      <w:proofErr w:type="gramEnd"/>
      <w:r w:rsidRPr="00284585">
        <w:rPr>
          <w:rFonts w:ascii="Times New Roman" w:hAnsi="Times New Roman" w:cs="Times New Roman"/>
          <w:sz w:val="26"/>
          <w:szCs w:val="26"/>
        </w:rPr>
        <w:t xml:space="preserve"> the Night, and </w:t>
      </w:r>
      <w:r w:rsidR="009326AE" w:rsidRPr="00284585">
        <w:rPr>
          <w:rFonts w:ascii="Times New Roman" w:hAnsi="Times New Roman" w:cs="Times New Roman"/>
          <w:sz w:val="26"/>
          <w:szCs w:val="26"/>
        </w:rPr>
        <w:t>many</w:t>
      </w:r>
      <w:r w:rsidRPr="00284585">
        <w:rPr>
          <w:rFonts w:ascii="Times New Roman" w:hAnsi="Times New Roman" w:cs="Times New Roman"/>
          <w:sz w:val="26"/>
          <w:szCs w:val="26"/>
        </w:rPr>
        <w:t xml:space="preserve"> Fundraising events </w:t>
      </w:r>
      <w:r w:rsidR="009326AE" w:rsidRPr="00284585">
        <w:rPr>
          <w:rFonts w:ascii="Times New Roman" w:hAnsi="Times New Roman" w:cs="Times New Roman"/>
          <w:sz w:val="26"/>
          <w:szCs w:val="26"/>
        </w:rPr>
        <w:t>(</w:t>
      </w:r>
      <w:r w:rsidRPr="00284585">
        <w:rPr>
          <w:rFonts w:ascii="Times New Roman" w:hAnsi="Times New Roman" w:cs="Times New Roman"/>
          <w:sz w:val="26"/>
          <w:szCs w:val="26"/>
        </w:rPr>
        <w:t>dinners, bake sales and similar events</w:t>
      </w:r>
      <w:r w:rsidR="009326AE" w:rsidRPr="00284585">
        <w:rPr>
          <w:rFonts w:ascii="Times New Roman" w:hAnsi="Times New Roman" w:cs="Times New Roman"/>
          <w:sz w:val="26"/>
          <w:szCs w:val="26"/>
        </w:rPr>
        <w:t xml:space="preserve">).  </w:t>
      </w:r>
      <w:r w:rsidR="00FE76D2" w:rsidRPr="00284585">
        <w:rPr>
          <w:rFonts w:ascii="Times New Roman" w:hAnsi="Times New Roman" w:cs="Times New Roman"/>
          <w:sz w:val="26"/>
          <w:szCs w:val="26"/>
        </w:rPr>
        <w:t>Foundational to these forms of m</w:t>
      </w:r>
      <w:r w:rsidRPr="00284585">
        <w:rPr>
          <w:rFonts w:ascii="Times New Roman" w:hAnsi="Times New Roman" w:cs="Times New Roman"/>
          <w:sz w:val="26"/>
          <w:szCs w:val="26"/>
        </w:rPr>
        <w:t xml:space="preserve">inistry is the mutual support between </w:t>
      </w:r>
      <w:r w:rsidR="009326AE" w:rsidRPr="00284585">
        <w:rPr>
          <w:rFonts w:ascii="Times New Roman" w:hAnsi="Times New Roman" w:cs="Times New Roman"/>
          <w:sz w:val="26"/>
          <w:szCs w:val="26"/>
        </w:rPr>
        <w:t>those</w:t>
      </w:r>
      <w:r w:rsidRPr="00284585">
        <w:rPr>
          <w:rFonts w:ascii="Times New Roman" w:hAnsi="Times New Roman" w:cs="Times New Roman"/>
          <w:sz w:val="26"/>
          <w:szCs w:val="26"/>
        </w:rPr>
        <w:t xml:space="preserve"> in the community connected to </w:t>
      </w:r>
      <w:r w:rsidR="00FE76D2" w:rsidRPr="00284585">
        <w:rPr>
          <w:rFonts w:ascii="Times New Roman" w:hAnsi="Times New Roman" w:cs="Times New Roman"/>
          <w:sz w:val="26"/>
          <w:szCs w:val="26"/>
        </w:rPr>
        <w:t xml:space="preserve">one another through </w:t>
      </w:r>
      <w:r w:rsidRPr="00284585">
        <w:rPr>
          <w:rFonts w:ascii="Times New Roman" w:hAnsi="Times New Roman" w:cs="Times New Roman"/>
          <w:sz w:val="26"/>
          <w:szCs w:val="26"/>
        </w:rPr>
        <w:t>the Church.</w:t>
      </w:r>
    </w:p>
    <w:p w:rsidR="008121D7" w:rsidRPr="00284585" w:rsidRDefault="009326AE" w:rsidP="00DF1842">
      <w:pPr>
        <w:spacing w:before="120" w:after="0" w:line="240" w:lineRule="auto"/>
        <w:ind w:firstLine="720"/>
        <w:rPr>
          <w:rFonts w:ascii="Times New Roman" w:hAnsi="Times New Roman" w:cs="Times New Roman"/>
          <w:sz w:val="26"/>
          <w:szCs w:val="26"/>
        </w:rPr>
      </w:pPr>
      <w:r w:rsidRPr="00284585">
        <w:rPr>
          <w:rFonts w:ascii="Times New Roman" w:hAnsi="Times New Roman" w:cs="Times New Roman"/>
          <w:sz w:val="26"/>
          <w:szCs w:val="26"/>
        </w:rPr>
        <w:t xml:space="preserve">Our </w:t>
      </w:r>
      <w:r w:rsidR="008121D7" w:rsidRPr="00284585">
        <w:rPr>
          <w:rFonts w:ascii="Times New Roman" w:hAnsi="Times New Roman" w:cs="Times New Roman"/>
          <w:sz w:val="26"/>
          <w:szCs w:val="26"/>
        </w:rPr>
        <w:t xml:space="preserve">challenge will be to maintain or increase the number of volunteers who participate in the ministry of the Church, or </w:t>
      </w:r>
      <w:r w:rsidR="00FE76D2" w:rsidRPr="00284585">
        <w:rPr>
          <w:rFonts w:ascii="Times New Roman" w:hAnsi="Times New Roman" w:cs="Times New Roman"/>
          <w:sz w:val="26"/>
          <w:szCs w:val="26"/>
        </w:rPr>
        <w:t xml:space="preserve">to </w:t>
      </w:r>
      <w:r w:rsidR="008121D7" w:rsidRPr="00284585">
        <w:rPr>
          <w:rFonts w:ascii="Times New Roman" w:hAnsi="Times New Roman" w:cs="Times New Roman"/>
          <w:sz w:val="26"/>
          <w:szCs w:val="26"/>
        </w:rPr>
        <w:t xml:space="preserve">adjust the ministry of the Church to </w:t>
      </w:r>
      <w:r w:rsidR="00FE76D2" w:rsidRPr="00284585">
        <w:rPr>
          <w:rFonts w:ascii="Times New Roman" w:hAnsi="Times New Roman" w:cs="Times New Roman"/>
          <w:sz w:val="26"/>
          <w:szCs w:val="26"/>
        </w:rPr>
        <w:t>help meet needs in the community</w:t>
      </w:r>
      <w:r w:rsidR="006D5ACA" w:rsidRPr="00284585">
        <w:rPr>
          <w:rFonts w:ascii="Times New Roman" w:hAnsi="Times New Roman" w:cs="Times New Roman"/>
          <w:sz w:val="26"/>
          <w:szCs w:val="26"/>
        </w:rPr>
        <w:t>.  By adjusting the ministry to focus more on community needs,</w:t>
      </w:r>
      <w:r w:rsidR="00FE76D2" w:rsidRPr="00284585">
        <w:rPr>
          <w:rFonts w:ascii="Times New Roman" w:hAnsi="Times New Roman" w:cs="Times New Roman"/>
          <w:sz w:val="26"/>
          <w:szCs w:val="26"/>
        </w:rPr>
        <w:t xml:space="preserve"> </w:t>
      </w:r>
      <w:r w:rsidR="006D5ACA" w:rsidRPr="00284585">
        <w:rPr>
          <w:rFonts w:ascii="Times New Roman" w:hAnsi="Times New Roman" w:cs="Times New Roman"/>
          <w:sz w:val="26"/>
          <w:szCs w:val="26"/>
        </w:rPr>
        <w:t xml:space="preserve">we will not only </w:t>
      </w:r>
      <w:r w:rsidR="00FE76D2" w:rsidRPr="00284585">
        <w:rPr>
          <w:rFonts w:ascii="Times New Roman" w:hAnsi="Times New Roman" w:cs="Times New Roman"/>
          <w:sz w:val="26"/>
          <w:szCs w:val="26"/>
        </w:rPr>
        <w:t>provide a service</w:t>
      </w:r>
      <w:r w:rsidR="006D5ACA" w:rsidRPr="00284585">
        <w:rPr>
          <w:rFonts w:ascii="Times New Roman" w:hAnsi="Times New Roman" w:cs="Times New Roman"/>
          <w:sz w:val="26"/>
          <w:szCs w:val="26"/>
        </w:rPr>
        <w:t>, but will also</w:t>
      </w:r>
      <w:r w:rsidR="00FE76D2" w:rsidRPr="00284585">
        <w:rPr>
          <w:rFonts w:ascii="Times New Roman" w:hAnsi="Times New Roman" w:cs="Times New Roman"/>
          <w:sz w:val="26"/>
          <w:szCs w:val="26"/>
        </w:rPr>
        <w:t xml:space="preserve"> </w:t>
      </w:r>
      <w:r w:rsidR="006D5ACA" w:rsidRPr="00284585">
        <w:rPr>
          <w:rFonts w:ascii="Times New Roman" w:hAnsi="Times New Roman" w:cs="Times New Roman"/>
          <w:sz w:val="26"/>
          <w:szCs w:val="26"/>
        </w:rPr>
        <w:t xml:space="preserve">hopefully </w:t>
      </w:r>
      <w:r w:rsidR="008121D7" w:rsidRPr="00284585">
        <w:rPr>
          <w:rFonts w:ascii="Times New Roman" w:hAnsi="Times New Roman" w:cs="Times New Roman"/>
          <w:sz w:val="26"/>
          <w:szCs w:val="26"/>
        </w:rPr>
        <w:t>entice individuals of the church and community to participate in th</w:t>
      </w:r>
      <w:r w:rsidR="006D5ACA" w:rsidRPr="00284585">
        <w:rPr>
          <w:rFonts w:ascii="Times New Roman" w:hAnsi="Times New Roman" w:cs="Times New Roman"/>
          <w:sz w:val="26"/>
          <w:szCs w:val="26"/>
        </w:rPr>
        <w:t>at</w:t>
      </w:r>
      <w:r w:rsidR="008121D7" w:rsidRPr="00284585">
        <w:rPr>
          <w:rFonts w:ascii="Times New Roman" w:hAnsi="Times New Roman" w:cs="Times New Roman"/>
          <w:sz w:val="26"/>
          <w:szCs w:val="26"/>
        </w:rPr>
        <w:t xml:space="preserve"> work.  </w:t>
      </w:r>
      <w:r w:rsidR="0046582C" w:rsidRPr="00284585">
        <w:rPr>
          <w:rFonts w:ascii="Times New Roman" w:hAnsi="Times New Roman" w:cs="Times New Roman"/>
          <w:sz w:val="26"/>
          <w:szCs w:val="26"/>
        </w:rPr>
        <w:t xml:space="preserve">Our </w:t>
      </w:r>
      <w:r w:rsidR="008121D7" w:rsidRPr="00284585">
        <w:rPr>
          <w:rFonts w:ascii="Times New Roman" w:hAnsi="Times New Roman" w:cs="Times New Roman"/>
          <w:sz w:val="26"/>
          <w:szCs w:val="26"/>
        </w:rPr>
        <w:t xml:space="preserve">challenge will also be to insure that the </w:t>
      </w:r>
      <w:r w:rsidR="0046582C" w:rsidRPr="00284585">
        <w:rPr>
          <w:rFonts w:ascii="Times New Roman" w:hAnsi="Times New Roman" w:cs="Times New Roman"/>
          <w:sz w:val="26"/>
          <w:szCs w:val="26"/>
        </w:rPr>
        <w:t>money</w:t>
      </w:r>
      <w:r w:rsidR="008121D7" w:rsidRPr="00284585">
        <w:rPr>
          <w:rFonts w:ascii="Times New Roman" w:hAnsi="Times New Roman" w:cs="Times New Roman"/>
          <w:sz w:val="26"/>
          <w:szCs w:val="26"/>
        </w:rPr>
        <w:t xml:space="preserve"> </w:t>
      </w:r>
      <w:r w:rsidR="0046582C" w:rsidRPr="00284585">
        <w:rPr>
          <w:rFonts w:ascii="Times New Roman" w:hAnsi="Times New Roman" w:cs="Times New Roman"/>
          <w:sz w:val="26"/>
          <w:szCs w:val="26"/>
        </w:rPr>
        <w:t xml:space="preserve">donated </w:t>
      </w:r>
      <w:r w:rsidR="008121D7" w:rsidRPr="00284585">
        <w:rPr>
          <w:rFonts w:ascii="Times New Roman" w:hAnsi="Times New Roman" w:cs="Times New Roman"/>
          <w:sz w:val="26"/>
          <w:szCs w:val="26"/>
        </w:rPr>
        <w:t xml:space="preserve">for the work of the church </w:t>
      </w:r>
      <w:r w:rsidR="0046582C" w:rsidRPr="00284585">
        <w:rPr>
          <w:rFonts w:ascii="Times New Roman" w:hAnsi="Times New Roman" w:cs="Times New Roman"/>
          <w:sz w:val="26"/>
          <w:szCs w:val="26"/>
        </w:rPr>
        <w:t>is</w:t>
      </w:r>
      <w:r w:rsidR="008121D7" w:rsidRPr="00284585">
        <w:rPr>
          <w:rFonts w:ascii="Times New Roman" w:hAnsi="Times New Roman" w:cs="Times New Roman"/>
          <w:sz w:val="26"/>
          <w:szCs w:val="26"/>
        </w:rPr>
        <w:t xml:space="preserve"> used in ways that meet the greatest number of needs</w:t>
      </w:r>
      <w:r w:rsidR="00FE76D2" w:rsidRPr="00284585">
        <w:rPr>
          <w:rFonts w:ascii="Times New Roman" w:hAnsi="Times New Roman" w:cs="Times New Roman"/>
          <w:sz w:val="26"/>
          <w:szCs w:val="26"/>
        </w:rPr>
        <w:t>, perhaps being less focused on the one hour Sunday morning experience and more oriented to a variety of needs</w:t>
      </w:r>
      <w:r w:rsidR="0046582C" w:rsidRPr="00284585">
        <w:rPr>
          <w:rFonts w:ascii="Times New Roman" w:hAnsi="Times New Roman" w:cs="Times New Roman"/>
          <w:sz w:val="26"/>
          <w:szCs w:val="26"/>
        </w:rPr>
        <w:t>.  W</w:t>
      </w:r>
      <w:r w:rsidR="008121D7" w:rsidRPr="00284585">
        <w:rPr>
          <w:rFonts w:ascii="Times New Roman" w:hAnsi="Times New Roman" w:cs="Times New Roman"/>
          <w:sz w:val="26"/>
          <w:szCs w:val="26"/>
        </w:rPr>
        <w:t>ill that be through the church building and local minister</w:t>
      </w:r>
      <w:r w:rsidR="0046582C" w:rsidRPr="00284585">
        <w:rPr>
          <w:rFonts w:ascii="Times New Roman" w:hAnsi="Times New Roman" w:cs="Times New Roman"/>
          <w:sz w:val="26"/>
          <w:szCs w:val="26"/>
        </w:rPr>
        <w:t>,</w:t>
      </w:r>
      <w:r w:rsidR="008121D7" w:rsidRPr="00284585">
        <w:rPr>
          <w:rFonts w:ascii="Times New Roman" w:hAnsi="Times New Roman" w:cs="Times New Roman"/>
          <w:sz w:val="26"/>
          <w:szCs w:val="26"/>
        </w:rPr>
        <w:t xml:space="preserve"> or will that be through networking</w:t>
      </w:r>
      <w:r w:rsidR="0046582C" w:rsidRPr="00284585">
        <w:rPr>
          <w:rFonts w:ascii="Times New Roman" w:hAnsi="Times New Roman" w:cs="Times New Roman"/>
          <w:sz w:val="26"/>
          <w:szCs w:val="26"/>
        </w:rPr>
        <w:t xml:space="preserve"> of</w:t>
      </w:r>
      <w:r w:rsidR="008121D7" w:rsidRPr="00284585">
        <w:rPr>
          <w:rFonts w:ascii="Times New Roman" w:hAnsi="Times New Roman" w:cs="Times New Roman"/>
          <w:sz w:val="26"/>
          <w:szCs w:val="26"/>
        </w:rPr>
        <w:t xml:space="preserve"> community groups where people can give and receive support, or </w:t>
      </w:r>
      <w:r w:rsidR="0046582C" w:rsidRPr="00284585">
        <w:rPr>
          <w:rFonts w:ascii="Times New Roman" w:hAnsi="Times New Roman" w:cs="Times New Roman"/>
          <w:sz w:val="26"/>
          <w:szCs w:val="26"/>
        </w:rPr>
        <w:t xml:space="preserve">will it be </w:t>
      </w:r>
      <w:r w:rsidR="008121D7" w:rsidRPr="00284585">
        <w:rPr>
          <w:rFonts w:ascii="Times New Roman" w:hAnsi="Times New Roman" w:cs="Times New Roman"/>
          <w:sz w:val="26"/>
          <w:szCs w:val="26"/>
        </w:rPr>
        <w:t xml:space="preserve">through a reduction of our current work and the initiation of new work that meets the needs of </w:t>
      </w:r>
      <w:r w:rsidR="00FE76D2" w:rsidRPr="00284585">
        <w:rPr>
          <w:rFonts w:ascii="Times New Roman" w:hAnsi="Times New Roman" w:cs="Times New Roman"/>
          <w:sz w:val="26"/>
          <w:szCs w:val="26"/>
        </w:rPr>
        <w:t>younger people of our community?</w:t>
      </w:r>
      <w:r w:rsidR="008121D7" w:rsidRPr="00284585">
        <w:rPr>
          <w:rFonts w:ascii="Times New Roman" w:hAnsi="Times New Roman" w:cs="Times New Roman"/>
          <w:sz w:val="26"/>
          <w:szCs w:val="26"/>
        </w:rPr>
        <w:t xml:space="preserve"> </w:t>
      </w:r>
    </w:p>
    <w:p w:rsidR="00E76CC1" w:rsidRPr="00284585" w:rsidRDefault="002D6EA3" w:rsidP="00F90449">
      <w:pPr>
        <w:pageBreakBefore/>
        <w:spacing w:before="120" w:after="0" w:line="240" w:lineRule="auto"/>
        <w:rPr>
          <w:rFonts w:ascii="Times New Roman" w:hAnsi="Times New Roman" w:cs="Times New Roman"/>
          <w:b/>
          <w:sz w:val="26"/>
          <w:szCs w:val="26"/>
        </w:rPr>
      </w:pPr>
      <w:r w:rsidRPr="00284585">
        <w:rPr>
          <w:rFonts w:ascii="Times New Roman" w:hAnsi="Times New Roman" w:cs="Times New Roman"/>
          <w:b/>
          <w:sz w:val="26"/>
          <w:szCs w:val="26"/>
        </w:rPr>
        <w:lastRenderedPageBreak/>
        <w:t>Additional Resources</w:t>
      </w:r>
    </w:p>
    <w:p w:rsidR="000D63A6" w:rsidRPr="00284585" w:rsidRDefault="000D63A6" w:rsidP="00B43767">
      <w:pPr>
        <w:pStyle w:val="ListParagraph"/>
        <w:numPr>
          <w:ilvl w:val="0"/>
          <w:numId w:val="9"/>
        </w:numPr>
        <w:spacing w:before="120" w:after="0" w:line="240" w:lineRule="auto"/>
        <w:ind w:left="360"/>
        <w:rPr>
          <w:sz w:val="26"/>
          <w:szCs w:val="26"/>
        </w:rPr>
      </w:pPr>
      <w:r w:rsidRPr="00284585">
        <w:rPr>
          <w:i/>
          <w:sz w:val="26"/>
          <w:szCs w:val="26"/>
        </w:rPr>
        <w:t>Grounded: Finding God in the World – A Spiritual Revolution</w:t>
      </w:r>
      <w:r w:rsidR="00474B3C" w:rsidRPr="00284585">
        <w:rPr>
          <w:sz w:val="26"/>
          <w:szCs w:val="26"/>
        </w:rPr>
        <w:t xml:space="preserve">. Diana Butler Bass. </w:t>
      </w:r>
      <w:r w:rsidRPr="00284585">
        <w:rPr>
          <w:sz w:val="26"/>
          <w:szCs w:val="26"/>
        </w:rPr>
        <w:t>2015</w:t>
      </w:r>
    </w:p>
    <w:p w:rsidR="000D63A6" w:rsidRPr="00284585" w:rsidRDefault="000D63A6" w:rsidP="00B43767">
      <w:pPr>
        <w:pStyle w:val="ListParagraph"/>
        <w:numPr>
          <w:ilvl w:val="0"/>
          <w:numId w:val="9"/>
        </w:numPr>
        <w:spacing w:before="120" w:after="0" w:line="240" w:lineRule="auto"/>
        <w:ind w:left="360"/>
        <w:contextualSpacing w:val="0"/>
        <w:rPr>
          <w:i/>
          <w:sz w:val="26"/>
          <w:szCs w:val="26"/>
        </w:rPr>
      </w:pPr>
      <w:r w:rsidRPr="00284585">
        <w:rPr>
          <w:i/>
          <w:sz w:val="26"/>
          <w:szCs w:val="26"/>
        </w:rPr>
        <w:t>Christianity for the Rest of Us: How the Neighborhood Church is Transforming the Faith</w:t>
      </w:r>
      <w:r w:rsidR="00474B3C" w:rsidRPr="00284585">
        <w:rPr>
          <w:i/>
          <w:sz w:val="26"/>
          <w:szCs w:val="26"/>
        </w:rPr>
        <w:t xml:space="preserve">. </w:t>
      </w:r>
      <w:r w:rsidR="00474B3C" w:rsidRPr="00284585">
        <w:rPr>
          <w:sz w:val="26"/>
          <w:szCs w:val="26"/>
        </w:rPr>
        <w:t>Diana Butler Bass. 2006</w:t>
      </w:r>
    </w:p>
    <w:p w:rsidR="000D63A6" w:rsidRPr="00284585" w:rsidRDefault="000D63A6" w:rsidP="00B43767">
      <w:pPr>
        <w:pStyle w:val="ListParagraph"/>
        <w:numPr>
          <w:ilvl w:val="0"/>
          <w:numId w:val="9"/>
        </w:numPr>
        <w:spacing w:before="120" w:after="0" w:line="240" w:lineRule="auto"/>
        <w:ind w:left="360"/>
        <w:contextualSpacing w:val="0"/>
        <w:rPr>
          <w:sz w:val="26"/>
          <w:szCs w:val="26"/>
        </w:rPr>
      </w:pPr>
      <w:r w:rsidRPr="00284585">
        <w:rPr>
          <w:i/>
          <w:sz w:val="26"/>
          <w:szCs w:val="26"/>
        </w:rPr>
        <w:t>The Great Emergence: How Christianity is Changing and Why</w:t>
      </w:r>
      <w:r w:rsidR="00474B3C" w:rsidRPr="00284585">
        <w:rPr>
          <w:sz w:val="26"/>
          <w:szCs w:val="26"/>
        </w:rPr>
        <w:t xml:space="preserve">, Phyllis Tickle. </w:t>
      </w:r>
      <w:r w:rsidRPr="00284585">
        <w:rPr>
          <w:sz w:val="26"/>
          <w:szCs w:val="26"/>
        </w:rPr>
        <w:t>2008.</w:t>
      </w:r>
    </w:p>
    <w:p w:rsidR="000D63A6" w:rsidRPr="00284585" w:rsidRDefault="000D63A6" w:rsidP="00B43767">
      <w:pPr>
        <w:pStyle w:val="ListParagraph"/>
        <w:numPr>
          <w:ilvl w:val="0"/>
          <w:numId w:val="9"/>
        </w:numPr>
        <w:spacing w:before="120" w:after="0" w:line="240" w:lineRule="auto"/>
        <w:ind w:left="360"/>
        <w:contextualSpacing w:val="0"/>
        <w:rPr>
          <w:i/>
          <w:sz w:val="26"/>
          <w:szCs w:val="26"/>
        </w:rPr>
      </w:pPr>
      <w:r w:rsidRPr="00284585">
        <w:rPr>
          <w:i/>
          <w:sz w:val="26"/>
          <w:szCs w:val="26"/>
        </w:rPr>
        <w:t xml:space="preserve">Toward a Hopeful Future: Why Emergent Church is Good News for Mainline Congregations.  </w:t>
      </w:r>
      <w:r w:rsidR="00474B3C" w:rsidRPr="00284585">
        <w:rPr>
          <w:sz w:val="26"/>
          <w:szCs w:val="26"/>
        </w:rPr>
        <w:t>P. Snider &amp; E. Bowen. 2010</w:t>
      </w:r>
    </w:p>
    <w:p w:rsidR="000D63A6" w:rsidRPr="00284585" w:rsidRDefault="000D63A6" w:rsidP="00B43767">
      <w:pPr>
        <w:pStyle w:val="ListParagraph"/>
        <w:numPr>
          <w:ilvl w:val="0"/>
          <w:numId w:val="9"/>
        </w:numPr>
        <w:spacing w:before="120" w:after="0" w:line="240" w:lineRule="auto"/>
        <w:ind w:left="360"/>
        <w:contextualSpacing w:val="0"/>
        <w:rPr>
          <w:sz w:val="26"/>
          <w:szCs w:val="26"/>
        </w:rPr>
      </w:pPr>
      <w:r w:rsidRPr="00284585">
        <w:rPr>
          <w:i/>
          <w:sz w:val="26"/>
          <w:szCs w:val="26"/>
        </w:rPr>
        <w:t>Impossible Loves</w:t>
      </w:r>
      <w:r w:rsidRPr="00284585">
        <w:rPr>
          <w:sz w:val="26"/>
          <w:szCs w:val="26"/>
        </w:rPr>
        <w:t xml:space="preserve">.  Don </w:t>
      </w:r>
      <w:proofErr w:type="spellStart"/>
      <w:r w:rsidRPr="00284585">
        <w:rPr>
          <w:sz w:val="26"/>
          <w:szCs w:val="26"/>
        </w:rPr>
        <w:t>Cupitt</w:t>
      </w:r>
      <w:proofErr w:type="spellEnd"/>
      <w:r w:rsidRPr="00284585">
        <w:rPr>
          <w:sz w:val="26"/>
          <w:szCs w:val="26"/>
        </w:rPr>
        <w:t>. 2007.</w:t>
      </w:r>
    </w:p>
    <w:p w:rsidR="000D63A6" w:rsidRPr="00284585" w:rsidRDefault="000D63A6" w:rsidP="00B43767">
      <w:pPr>
        <w:pStyle w:val="ListParagraph"/>
        <w:numPr>
          <w:ilvl w:val="0"/>
          <w:numId w:val="9"/>
        </w:numPr>
        <w:spacing w:before="120" w:after="0" w:line="240" w:lineRule="auto"/>
        <w:ind w:left="360"/>
        <w:contextualSpacing w:val="0"/>
        <w:rPr>
          <w:sz w:val="26"/>
          <w:szCs w:val="26"/>
        </w:rPr>
      </w:pPr>
      <w:r w:rsidRPr="00284585">
        <w:rPr>
          <w:i/>
          <w:sz w:val="26"/>
          <w:szCs w:val="26"/>
        </w:rPr>
        <w:t>The Church’s Seven Deadly Secrets: Identity Theft from Within</w:t>
      </w:r>
      <w:r w:rsidR="00474B3C" w:rsidRPr="00284585">
        <w:rPr>
          <w:sz w:val="26"/>
          <w:szCs w:val="26"/>
        </w:rPr>
        <w:t>. Paul Jones.  2013</w:t>
      </w:r>
    </w:p>
    <w:p w:rsidR="000D63A6" w:rsidRPr="00284585" w:rsidRDefault="000D63A6" w:rsidP="00B43767">
      <w:pPr>
        <w:pStyle w:val="ListParagraph"/>
        <w:numPr>
          <w:ilvl w:val="0"/>
          <w:numId w:val="9"/>
        </w:numPr>
        <w:spacing w:before="120" w:after="0" w:line="240" w:lineRule="auto"/>
        <w:ind w:left="360"/>
        <w:contextualSpacing w:val="0"/>
        <w:rPr>
          <w:sz w:val="26"/>
          <w:szCs w:val="26"/>
        </w:rPr>
      </w:pPr>
      <w:r w:rsidRPr="00284585">
        <w:rPr>
          <w:i/>
          <w:sz w:val="26"/>
          <w:szCs w:val="26"/>
        </w:rPr>
        <w:t>Church Refugees: Sociologists reveal why people are DONE with Church, but not their faith</w:t>
      </w:r>
      <w:r w:rsidRPr="00284585">
        <w:rPr>
          <w:sz w:val="26"/>
          <w:szCs w:val="26"/>
        </w:rPr>
        <w:t>.</w:t>
      </w:r>
      <w:r w:rsidR="00474B3C" w:rsidRPr="00284585">
        <w:rPr>
          <w:sz w:val="26"/>
          <w:szCs w:val="26"/>
        </w:rPr>
        <w:t xml:space="preserve"> </w:t>
      </w:r>
      <w:r w:rsidRPr="00284585">
        <w:rPr>
          <w:sz w:val="26"/>
          <w:szCs w:val="26"/>
        </w:rPr>
        <w:t xml:space="preserve">Josh </w:t>
      </w:r>
      <w:r w:rsidR="00474B3C" w:rsidRPr="00284585">
        <w:rPr>
          <w:sz w:val="26"/>
          <w:szCs w:val="26"/>
        </w:rPr>
        <w:t>Packard &amp; Ashleigh Hope.  2015</w:t>
      </w:r>
    </w:p>
    <w:p w:rsidR="000D63A6" w:rsidRPr="00284585" w:rsidRDefault="000D63A6" w:rsidP="00B43767">
      <w:pPr>
        <w:pStyle w:val="ListParagraph"/>
        <w:numPr>
          <w:ilvl w:val="0"/>
          <w:numId w:val="9"/>
        </w:numPr>
        <w:spacing w:before="120" w:after="0" w:line="240" w:lineRule="auto"/>
        <w:ind w:left="360"/>
        <w:contextualSpacing w:val="0"/>
        <w:rPr>
          <w:sz w:val="26"/>
          <w:szCs w:val="26"/>
        </w:rPr>
      </w:pPr>
      <w:r w:rsidRPr="00284585">
        <w:rPr>
          <w:i/>
          <w:sz w:val="26"/>
          <w:szCs w:val="26"/>
        </w:rPr>
        <w:t>The Empty Church: Does Organized Religion Matter Anymore?</w:t>
      </w:r>
      <w:r w:rsidR="00474B3C" w:rsidRPr="00284585">
        <w:rPr>
          <w:sz w:val="26"/>
          <w:szCs w:val="26"/>
        </w:rPr>
        <w:t xml:space="preserve">  Thomas Reeves.  1996</w:t>
      </w:r>
    </w:p>
    <w:p w:rsidR="00756C2C" w:rsidRPr="00284585" w:rsidRDefault="00756C2C" w:rsidP="00B43767">
      <w:pPr>
        <w:pStyle w:val="ListParagraph"/>
        <w:numPr>
          <w:ilvl w:val="0"/>
          <w:numId w:val="9"/>
        </w:numPr>
        <w:spacing w:before="120" w:after="0" w:line="240" w:lineRule="auto"/>
        <w:ind w:left="360"/>
        <w:contextualSpacing w:val="0"/>
        <w:rPr>
          <w:sz w:val="26"/>
          <w:szCs w:val="26"/>
        </w:rPr>
      </w:pPr>
      <w:r w:rsidRPr="00284585">
        <w:rPr>
          <w:i/>
          <w:sz w:val="26"/>
          <w:szCs w:val="26"/>
        </w:rPr>
        <w:t>The Church in the Inventive Age</w:t>
      </w:r>
      <w:r w:rsidRPr="00284585">
        <w:rPr>
          <w:sz w:val="26"/>
          <w:szCs w:val="26"/>
        </w:rPr>
        <w:t xml:space="preserve">.  Doug </w:t>
      </w:r>
      <w:proofErr w:type="spellStart"/>
      <w:r w:rsidRPr="00284585">
        <w:rPr>
          <w:sz w:val="26"/>
          <w:szCs w:val="26"/>
        </w:rPr>
        <w:t>Pagitt</w:t>
      </w:r>
      <w:proofErr w:type="spellEnd"/>
      <w:r w:rsidRPr="00284585">
        <w:rPr>
          <w:sz w:val="26"/>
          <w:szCs w:val="26"/>
        </w:rPr>
        <w:t>. 2010.</w:t>
      </w:r>
    </w:p>
    <w:p w:rsidR="00756C2C" w:rsidRPr="00284585" w:rsidRDefault="00756C2C" w:rsidP="00B43767">
      <w:pPr>
        <w:pStyle w:val="ListParagraph"/>
        <w:numPr>
          <w:ilvl w:val="0"/>
          <w:numId w:val="9"/>
        </w:numPr>
        <w:spacing w:before="120" w:after="0" w:line="240" w:lineRule="auto"/>
        <w:ind w:left="360"/>
        <w:contextualSpacing w:val="0"/>
        <w:rPr>
          <w:sz w:val="26"/>
          <w:szCs w:val="26"/>
        </w:rPr>
      </w:pPr>
      <w:r w:rsidRPr="00284585">
        <w:rPr>
          <w:i/>
          <w:sz w:val="26"/>
          <w:szCs w:val="26"/>
        </w:rPr>
        <w:t>Community in the Inventive Age</w:t>
      </w:r>
      <w:r w:rsidRPr="00284585">
        <w:rPr>
          <w:sz w:val="26"/>
          <w:szCs w:val="26"/>
        </w:rPr>
        <w:t xml:space="preserve">.  Doug </w:t>
      </w:r>
      <w:proofErr w:type="spellStart"/>
      <w:r w:rsidRPr="00284585">
        <w:rPr>
          <w:sz w:val="26"/>
          <w:szCs w:val="26"/>
        </w:rPr>
        <w:t>Pagitt</w:t>
      </w:r>
      <w:proofErr w:type="spellEnd"/>
      <w:r w:rsidRPr="00284585">
        <w:rPr>
          <w:sz w:val="26"/>
          <w:szCs w:val="26"/>
        </w:rPr>
        <w:t>. 2011.</w:t>
      </w:r>
    </w:p>
    <w:p w:rsidR="00756C2C" w:rsidRPr="00284585" w:rsidRDefault="00756C2C" w:rsidP="00B43767">
      <w:pPr>
        <w:pStyle w:val="ListParagraph"/>
        <w:numPr>
          <w:ilvl w:val="0"/>
          <w:numId w:val="9"/>
        </w:numPr>
        <w:spacing w:before="120" w:after="0" w:line="240" w:lineRule="auto"/>
        <w:ind w:left="360"/>
        <w:contextualSpacing w:val="0"/>
        <w:rPr>
          <w:sz w:val="26"/>
          <w:szCs w:val="26"/>
        </w:rPr>
      </w:pPr>
      <w:r w:rsidRPr="00284585">
        <w:rPr>
          <w:i/>
          <w:sz w:val="26"/>
          <w:szCs w:val="26"/>
        </w:rPr>
        <w:t>The Spiritual Revolution: why religion is giving way to spirituality</w:t>
      </w:r>
      <w:r w:rsidRPr="00284585">
        <w:rPr>
          <w:sz w:val="26"/>
          <w:szCs w:val="26"/>
        </w:rPr>
        <w:t xml:space="preserve">.  Paul </w:t>
      </w:r>
      <w:proofErr w:type="spellStart"/>
      <w:r w:rsidRPr="00284585">
        <w:rPr>
          <w:sz w:val="26"/>
          <w:szCs w:val="26"/>
        </w:rPr>
        <w:t>Heelas</w:t>
      </w:r>
      <w:proofErr w:type="spellEnd"/>
      <w:r w:rsidRPr="00284585">
        <w:rPr>
          <w:sz w:val="26"/>
          <w:szCs w:val="26"/>
        </w:rPr>
        <w:t xml:space="preserve"> &amp; Linda Woodhead. 2005.</w:t>
      </w:r>
    </w:p>
    <w:p w:rsidR="00756C2C" w:rsidRPr="00284585" w:rsidRDefault="00756C2C" w:rsidP="00B43767">
      <w:pPr>
        <w:pStyle w:val="ListParagraph"/>
        <w:numPr>
          <w:ilvl w:val="0"/>
          <w:numId w:val="9"/>
        </w:numPr>
        <w:spacing w:before="120" w:after="0" w:line="240" w:lineRule="auto"/>
        <w:ind w:left="360"/>
        <w:contextualSpacing w:val="0"/>
        <w:rPr>
          <w:sz w:val="26"/>
          <w:szCs w:val="26"/>
        </w:rPr>
      </w:pPr>
      <w:r w:rsidRPr="00284585">
        <w:rPr>
          <w:i/>
          <w:sz w:val="26"/>
          <w:szCs w:val="26"/>
        </w:rPr>
        <w:t>The Sixties and Beyond: De-Christianization in North America and Western Europe</w:t>
      </w:r>
      <w:r w:rsidRPr="00284585">
        <w:rPr>
          <w:sz w:val="26"/>
          <w:szCs w:val="26"/>
        </w:rPr>
        <w:t>.  2013.</w:t>
      </w:r>
    </w:p>
    <w:p w:rsidR="002E48DB" w:rsidRPr="00284585" w:rsidRDefault="002E48DB" w:rsidP="00B43767">
      <w:pPr>
        <w:pStyle w:val="ListParagraph"/>
        <w:numPr>
          <w:ilvl w:val="0"/>
          <w:numId w:val="9"/>
        </w:numPr>
        <w:spacing w:before="120" w:after="0" w:line="240" w:lineRule="auto"/>
        <w:ind w:left="360"/>
        <w:contextualSpacing w:val="0"/>
        <w:rPr>
          <w:sz w:val="26"/>
          <w:szCs w:val="26"/>
        </w:rPr>
      </w:pPr>
      <w:r w:rsidRPr="00284585">
        <w:rPr>
          <w:i/>
          <w:sz w:val="26"/>
          <w:szCs w:val="26"/>
        </w:rPr>
        <w:t>Leaving Church: A Memoir of Faith</w:t>
      </w:r>
      <w:r w:rsidRPr="00284585">
        <w:rPr>
          <w:sz w:val="26"/>
          <w:szCs w:val="26"/>
        </w:rPr>
        <w:t>.  Barbara Brown Taylor.  2006.</w:t>
      </w:r>
    </w:p>
    <w:p w:rsidR="002E48DB" w:rsidRPr="00284585" w:rsidRDefault="002E48DB" w:rsidP="00B43767">
      <w:pPr>
        <w:pStyle w:val="ListParagraph"/>
        <w:numPr>
          <w:ilvl w:val="0"/>
          <w:numId w:val="9"/>
        </w:numPr>
        <w:spacing w:before="120" w:after="0" w:line="240" w:lineRule="auto"/>
        <w:ind w:left="360"/>
        <w:contextualSpacing w:val="0"/>
        <w:rPr>
          <w:sz w:val="26"/>
          <w:szCs w:val="26"/>
        </w:rPr>
      </w:pPr>
      <w:r w:rsidRPr="00284585">
        <w:rPr>
          <w:i/>
          <w:sz w:val="26"/>
          <w:szCs w:val="26"/>
        </w:rPr>
        <w:t>Saving Jesus from the Church: How to Stop Worshipping Christ and Start Following Jesus</w:t>
      </w:r>
      <w:r w:rsidRPr="00284585">
        <w:rPr>
          <w:sz w:val="26"/>
          <w:szCs w:val="26"/>
        </w:rPr>
        <w:t>.</w:t>
      </w:r>
      <w:r w:rsidR="00474B3C" w:rsidRPr="00284585">
        <w:rPr>
          <w:sz w:val="26"/>
          <w:szCs w:val="26"/>
        </w:rPr>
        <w:t xml:space="preserve"> </w:t>
      </w:r>
      <w:r w:rsidRPr="00284585">
        <w:rPr>
          <w:sz w:val="26"/>
          <w:szCs w:val="26"/>
        </w:rPr>
        <w:t>Robin Meyers. 2009.</w:t>
      </w:r>
    </w:p>
    <w:p w:rsidR="002E48DB" w:rsidRPr="00284585" w:rsidRDefault="002E48DB" w:rsidP="00B43767">
      <w:pPr>
        <w:pStyle w:val="ListParagraph"/>
        <w:numPr>
          <w:ilvl w:val="0"/>
          <w:numId w:val="9"/>
        </w:numPr>
        <w:spacing w:before="120" w:after="0" w:line="240" w:lineRule="auto"/>
        <w:ind w:left="360"/>
        <w:contextualSpacing w:val="0"/>
        <w:rPr>
          <w:sz w:val="26"/>
          <w:szCs w:val="26"/>
        </w:rPr>
      </w:pPr>
      <w:r w:rsidRPr="00284585">
        <w:rPr>
          <w:i/>
          <w:sz w:val="26"/>
          <w:szCs w:val="26"/>
        </w:rPr>
        <w:t>Why Christianity Must Change or Die: A Bishop Speaks to Believers in Exile</w:t>
      </w:r>
      <w:r w:rsidRPr="00284585">
        <w:rPr>
          <w:sz w:val="26"/>
          <w:szCs w:val="26"/>
        </w:rPr>
        <w:t xml:space="preserve">.  John Shelby </w:t>
      </w:r>
      <w:proofErr w:type="spellStart"/>
      <w:r w:rsidRPr="00284585">
        <w:rPr>
          <w:sz w:val="26"/>
          <w:szCs w:val="26"/>
        </w:rPr>
        <w:t>Spong</w:t>
      </w:r>
      <w:proofErr w:type="spellEnd"/>
      <w:r w:rsidRPr="00284585">
        <w:rPr>
          <w:sz w:val="26"/>
          <w:szCs w:val="26"/>
        </w:rPr>
        <w:t>.  1998.</w:t>
      </w:r>
    </w:p>
    <w:p w:rsidR="002E48DB" w:rsidRPr="00284585" w:rsidRDefault="002E48DB" w:rsidP="00B43767">
      <w:pPr>
        <w:pStyle w:val="ListParagraph"/>
        <w:numPr>
          <w:ilvl w:val="0"/>
          <w:numId w:val="9"/>
        </w:numPr>
        <w:spacing w:before="120" w:after="0" w:line="240" w:lineRule="auto"/>
        <w:ind w:left="360"/>
        <w:contextualSpacing w:val="0"/>
        <w:rPr>
          <w:sz w:val="26"/>
          <w:szCs w:val="26"/>
        </w:rPr>
      </w:pPr>
      <w:r w:rsidRPr="00284585">
        <w:rPr>
          <w:i/>
          <w:sz w:val="26"/>
          <w:szCs w:val="26"/>
        </w:rPr>
        <w:t>The Phoenix Affirmations: A New Vision for the Future of Christianity</w:t>
      </w:r>
      <w:r w:rsidRPr="00284585">
        <w:rPr>
          <w:sz w:val="26"/>
          <w:szCs w:val="26"/>
        </w:rPr>
        <w:t xml:space="preserve">.  Eric </w:t>
      </w:r>
      <w:proofErr w:type="spellStart"/>
      <w:r w:rsidRPr="00284585">
        <w:rPr>
          <w:sz w:val="26"/>
          <w:szCs w:val="26"/>
        </w:rPr>
        <w:t>Elnes</w:t>
      </w:r>
      <w:proofErr w:type="spellEnd"/>
      <w:r w:rsidRPr="00284585">
        <w:rPr>
          <w:sz w:val="26"/>
          <w:szCs w:val="26"/>
        </w:rPr>
        <w:t>.  2006.</w:t>
      </w:r>
    </w:p>
    <w:p w:rsidR="002E48DB" w:rsidRPr="00284585" w:rsidRDefault="002E48DB" w:rsidP="00B43767">
      <w:pPr>
        <w:pStyle w:val="ListParagraph"/>
        <w:numPr>
          <w:ilvl w:val="0"/>
          <w:numId w:val="9"/>
        </w:numPr>
        <w:spacing w:before="120" w:after="0" w:line="240" w:lineRule="auto"/>
        <w:ind w:left="360"/>
        <w:contextualSpacing w:val="0"/>
        <w:rPr>
          <w:sz w:val="26"/>
          <w:szCs w:val="26"/>
        </w:rPr>
      </w:pPr>
      <w:r w:rsidRPr="00284585">
        <w:rPr>
          <w:i/>
          <w:sz w:val="26"/>
          <w:szCs w:val="26"/>
        </w:rPr>
        <w:t>The Power of Religion in the Public Sphere</w:t>
      </w:r>
      <w:r w:rsidRPr="00284585">
        <w:rPr>
          <w:sz w:val="26"/>
          <w:szCs w:val="26"/>
        </w:rPr>
        <w:t>.  2011.</w:t>
      </w:r>
    </w:p>
    <w:p w:rsidR="002E48DB" w:rsidRPr="00284585" w:rsidRDefault="002E48DB" w:rsidP="00B43767">
      <w:pPr>
        <w:pStyle w:val="ListParagraph"/>
        <w:numPr>
          <w:ilvl w:val="0"/>
          <w:numId w:val="9"/>
        </w:numPr>
        <w:spacing w:before="120" w:after="0" w:line="240" w:lineRule="auto"/>
        <w:ind w:left="360"/>
        <w:contextualSpacing w:val="0"/>
        <w:rPr>
          <w:sz w:val="26"/>
          <w:szCs w:val="26"/>
        </w:rPr>
      </w:pPr>
      <w:r w:rsidRPr="00284585">
        <w:rPr>
          <w:i/>
          <w:sz w:val="26"/>
          <w:szCs w:val="26"/>
        </w:rPr>
        <w:t>Embracing the Human Jesus: A Wisdom Path for Contemporary Christianity</w:t>
      </w:r>
      <w:r w:rsidRPr="00284585">
        <w:rPr>
          <w:sz w:val="26"/>
          <w:szCs w:val="26"/>
        </w:rPr>
        <w:t xml:space="preserve">.  David </w:t>
      </w:r>
      <w:proofErr w:type="spellStart"/>
      <w:r w:rsidRPr="00284585">
        <w:rPr>
          <w:sz w:val="26"/>
          <w:szCs w:val="26"/>
        </w:rPr>
        <w:t>Galston</w:t>
      </w:r>
      <w:proofErr w:type="spellEnd"/>
      <w:r w:rsidRPr="00284585">
        <w:rPr>
          <w:sz w:val="26"/>
          <w:szCs w:val="26"/>
        </w:rPr>
        <w:t>.  2012.</w:t>
      </w:r>
    </w:p>
    <w:sectPr w:rsidR="002E48DB" w:rsidRPr="00284585" w:rsidSect="00284585">
      <w:footerReference w:type="default" r:id="rId15"/>
      <w:pgSz w:w="12240" w:h="15840"/>
      <w:pgMar w:top="720" w:right="1080" w:bottom="720" w:left="1440" w:header="706" w:footer="706"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19" w:rsidRDefault="00E37219" w:rsidP="00C27D59">
      <w:pPr>
        <w:spacing w:after="0" w:line="240" w:lineRule="auto"/>
      </w:pPr>
      <w:r>
        <w:separator/>
      </w:r>
    </w:p>
  </w:endnote>
  <w:endnote w:type="continuationSeparator" w:id="0">
    <w:p w:rsidR="00E37219" w:rsidRDefault="00E37219" w:rsidP="00C2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43311371"/>
      <w:docPartObj>
        <w:docPartGallery w:val="Page Numbers (Bottom of Page)"/>
        <w:docPartUnique/>
      </w:docPartObj>
    </w:sdtPr>
    <w:sdtEndPr/>
    <w:sdtContent>
      <w:sdt>
        <w:sdtPr>
          <w:rPr>
            <w:i/>
          </w:rPr>
          <w:id w:val="-1261528558"/>
          <w:docPartObj>
            <w:docPartGallery w:val="Page Numbers (Top of Page)"/>
            <w:docPartUnique/>
          </w:docPartObj>
        </w:sdtPr>
        <w:sdtEndPr/>
        <w:sdtContent>
          <w:p w:rsidR="00F95475" w:rsidRPr="00F95475" w:rsidRDefault="00F95475" w:rsidP="00284585">
            <w:pPr>
              <w:pStyle w:val="Footer"/>
              <w:pBdr>
                <w:top w:val="single" w:sz="4" w:space="1" w:color="auto"/>
              </w:pBdr>
              <w:tabs>
                <w:tab w:val="clear" w:pos="4680"/>
                <w:tab w:val="clear" w:pos="9360"/>
              </w:tabs>
              <w:jc w:val="center"/>
              <w:rPr>
                <w:i/>
              </w:rPr>
            </w:pPr>
            <w:r w:rsidRPr="00F95475">
              <w:rPr>
                <w:i/>
              </w:rPr>
              <w:t xml:space="preserve">Page </w:t>
            </w:r>
            <w:r w:rsidRPr="00F95475">
              <w:rPr>
                <w:b/>
                <w:bCs/>
                <w:i/>
                <w:sz w:val="24"/>
                <w:szCs w:val="24"/>
              </w:rPr>
              <w:fldChar w:fldCharType="begin"/>
            </w:r>
            <w:r w:rsidRPr="00F95475">
              <w:rPr>
                <w:b/>
                <w:bCs/>
                <w:i/>
              </w:rPr>
              <w:instrText xml:space="preserve"> PAGE </w:instrText>
            </w:r>
            <w:r w:rsidRPr="00F95475">
              <w:rPr>
                <w:b/>
                <w:bCs/>
                <w:i/>
                <w:sz w:val="24"/>
                <w:szCs w:val="24"/>
              </w:rPr>
              <w:fldChar w:fldCharType="separate"/>
            </w:r>
            <w:r w:rsidR="0062752B">
              <w:rPr>
                <w:b/>
                <w:bCs/>
                <w:i/>
                <w:noProof/>
              </w:rPr>
              <w:t>- 9 -</w:t>
            </w:r>
            <w:r w:rsidRPr="00F95475">
              <w:rPr>
                <w:b/>
                <w:bCs/>
                <w:i/>
                <w:sz w:val="24"/>
                <w:szCs w:val="24"/>
              </w:rPr>
              <w:fldChar w:fldCharType="end"/>
            </w:r>
            <w:r w:rsidRPr="00F95475">
              <w:rPr>
                <w:i/>
              </w:rPr>
              <w:t xml:space="preserve"> of</w:t>
            </w:r>
            <w:r>
              <w:rPr>
                <w:i/>
              </w:rPr>
              <w:t xml:space="preserve"> -</w:t>
            </w:r>
            <w:r w:rsidRPr="00F95475">
              <w:rPr>
                <w:i/>
              </w:rPr>
              <w:t xml:space="preserve"> </w:t>
            </w:r>
            <w:r w:rsidR="00AD179D">
              <w:rPr>
                <w:b/>
                <w:bCs/>
                <w:i/>
                <w:sz w:val="24"/>
                <w:szCs w:val="24"/>
              </w:rPr>
              <w:t>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19" w:rsidRDefault="00E37219" w:rsidP="00C27D59">
      <w:pPr>
        <w:spacing w:after="0" w:line="240" w:lineRule="auto"/>
      </w:pPr>
      <w:r>
        <w:separator/>
      </w:r>
    </w:p>
  </w:footnote>
  <w:footnote w:type="continuationSeparator" w:id="0">
    <w:p w:rsidR="00E37219" w:rsidRDefault="00E37219" w:rsidP="00C27D59">
      <w:pPr>
        <w:spacing w:after="0" w:line="240" w:lineRule="auto"/>
      </w:pPr>
      <w:r>
        <w:continuationSeparator/>
      </w:r>
    </w:p>
  </w:footnote>
  <w:footnote w:id="1">
    <w:p w:rsidR="00A43275" w:rsidRPr="00A43275" w:rsidRDefault="00A43275">
      <w:pPr>
        <w:pStyle w:val="FootnoteText"/>
        <w:rPr>
          <w:lang w:val="en-US"/>
        </w:rPr>
      </w:pPr>
      <w:r>
        <w:rPr>
          <w:rStyle w:val="FootnoteReference"/>
        </w:rPr>
        <w:footnoteRef/>
      </w:r>
      <w:r>
        <w:t xml:space="preserve"> </w:t>
      </w:r>
      <w:r w:rsidRPr="00DF6550">
        <w:t>These numbers are generated from the Mailing List, the Identifiable Givers List and the assessor’s memory with respect to each individual named in the aforementioned lists for the years 2006, 2010 &amp; 2014.</w:t>
      </w:r>
    </w:p>
  </w:footnote>
  <w:footnote w:id="2">
    <w:p w:rsidR="00F90449" w:rsidRPr="00F90449" w:rsidRDefault="00F90449">
      <w:pPr>
        <w:pStyle w:val="FootnoteText"/>
        <w:rPr>
          <w:lang w:val="en-US"/>
        </w:rPr>
      </w:pPr>
      <w:r>
        <w:rPr>
          <w:rStyle w:val="FootnoteReference"/>
        </w:rPr>
        <w:footnoteRef/>
      </w:r>
      <w:r>
        <w:t xml:space="preserve"> </w:t>
      </w:r>
      <w:r w:rsidRPr="00DF6550">
        <w:t>Globe and Mail article – published May 08, 2013 and updated July 26, 2013</w:t>
      </w:r>
    </w:p>
  </w:footnote>
  <w:footnote w:id="3">
    <w:p w:rsidR="00F90449" w:rsidRPr="00F90449" w:rsidRDefault="00F90449">
      <w:pPr>
        <w:pStyle w:val="FootnoteText"/>
        <w:rPr>
          <w:lang w:val="en-US"/>
        </w:rPr>
      </w:pPr>
      <w:r>
        <w:rPr>
          <w:rStyle w:val="FootnoteReference"/>
        </w:rPr>
        <w:footnoteRef/>
      </w:r>
      <w:r>
        <w:t xml:space="preserve"> </w:t>
      </w:r>
      <w:r w:rsidRPr="00DF6550">
        <w:t>Religion in Canada, a breakdown’ - Canada.com website –– May 08, 2013</w:t>
      </w:r>
    </w:p>
  </w:footnote>
  <w:footnote w:id="4">
    <w:p w:rsidR="00F90449" w:rsidRPr="00F90449" w:rsidRDefault="00F90449">
      <w:pPr>
        <w:pStyle w:val="FootnoteText"/>
        <w:rPr>
          <w:lang w:val="en-US"/>
        </w:rPr>
      </w:pPr>
      <w:r>
        <w:rPr>
          <w:rStyle w:val="FootnoteReference"/>
        </w:rPr>
        <w:footnoteRef/>
      </w:r>
      <w:r>
        <w:t xml:space="preserve"> </w:t>
      </w:r>
      <w:r w:rsidRPr="00DF6550">
        <w:t>Canada’s Changing Religious Landscape’ - Pew Research Center: Religion &amp; Public Life website – 06/27/13</w:t>
      </w:r>
    </w:p>
  </w:footnote>
  <w:footnote w:id="5">
    <w:p w:rsidR="00F90449" w:rsidRPr="00F90449" w:rsidRDefault="00F90449">
      <w:pPr>
        <w:pStyle w:val="FootnoteText"/>
        <w:rPr>
          <w:lang w:val="en-US"/>
        </w:rPr>
      </w:pPr>
      <w:r>
        <w:rPr>
          <w:rStyle w:val="FootnoteReference"/>
        </w:rPr>
        <w:footnoteRef/>
      </w:r>
      <w:r>
        <w:t xml:space="preserve"> </w:t>
      </w:r>
      <w:r w:rsidRPr="00DF6550">
        <w:t>Identified by various local individuals not attending regularly or at all, but who have expressed concern for the survival of the church.</w:t>
      </w:r>
    </w:p>
  </w:footnote>
  <w:footnote w:id="6">
    <w:p w:rsidR="00F90449" w:rsidRPr="00F90449" w:rsidRDefault="00F90449">
      <w:pPr>
        <w:pStyle w:val="FootnoteText"/>
        <w:rPr>
          <w:lang w:val="en-US"/>
        </w:rPr>
      </w:pPr>
      <w:r>
        <w:rPr>
          <w:rStyle w:val="FootnoteReference"/>
        </w:rPr>
        <w:footnoteRef/>
      </w:r>
      <w:r>
        <w:t xml:space="preserve"> </w:t>
      </w:r>
      <w:r w:rsidRPr="00DF6550">
        <w:t xml:space="preserve">Diane Butler Bass, </w:t>
      </w:r>
      <w:r w:rsidRPr="00DF6550">
        <w:rPr>
          <w:u w:val="single"/>
        </w:rPr>
        <w:t>Christianity after Religion</w:t>
      </w:r>
      <w:r w:rsidRPr="00DF6550">
        <w:t>, 2012. pp. 103-214</w:t>
      </w:r>
    </w:p>
  </w:footnote>
  <w:footnote w:id="7">
    <w:p w:rsidR="00F90449" w:rsidRPr="00F90449" w:rsidRDefault="00F90449">
      <w:pPr>
        <w:pStyle w:val="FootnoteText"/>
        <w:rPr>
          <w:lang w:val="en-US"/>
        </w:rPr>
      </w:pPr>
      <w:r>
        <w:rPr>
          <w:rStyle w:val="FootnoteReference"/>
        </w:rPr>
        <w:footnoteRef/>
      </w:r>
      <w:r>
        <w:t xml:space="preserve"> </w:t>
      </w:r>
      <w:r w:rsidRPr="00DF6550">
        <w:t xml:space="preserve">Susan Pinker, </w:t>
      </w:r>
      <w:r w:rsidRPr="00DF6550">
        <w:rPr>
          <w:u w:val="single"/>
        </w:rPr>
        <w:t>The Village Effect</w:t>
      </w:r>
      <w:r w:rsidRPr="00DF6550">
        <w:t>, 2014, pp. 74-76</w:t>
      </w:r>
    </w:p>
  </w:footnote>
  <w:footnote w:id="8">
    <w:p w:rsidR="00F90449" w:rsidRPr="00F90449" w:rsidRDefault="00F90449">
      <w:pPr>
        <w:pStyle w:val="FootnoteText"/>
        <w:rPr>
          <w:lang w:val="en-US"/>
        </w:rPr>
      </w:pPr>
      <w:r>
        <w:rPr>
          <w:rStyle w:val="FootnoteReference"/>
        </w:rPr>
        <w:footnoteRef/>
      </w:r>
      <w:r>
        <w:t xml:space="preserve"> </w:t>
      </w:r>
      <w:r w:rsidRPr="00DF6550">
        <w:rPr>
          <w:rFonts w:cs="Times New Roman"/>
        </w:rPr>
        <w:t>$31,000 (Ten items identified by the Stewards) is 78% of Zion’s 2015 total expenses.</w:t>
      </w:r>
    </w:p>
  </w:footnote>
  <w:footnote w:id="9">
    <w:p w:rsidR="00F90449" w:rsidRPr="00F90449" w:rsidRDefault="00F90449">
      <w:pPr>
        <w:pStyle w:val="FootnoteText"/>
        <w:rPr>
          <w:lang w:val="en-US"/>
        </w:rPr>
      </w:pPr>
      <w:r>
        <w:rPr>
          <w:rStyle w:val="FootnoteReference"/>
        </w:rPr>
        <w:footnoteRef/>
      </w:r>
      <w:r>
        <w:t xml:space="preserve"> </w:t>
      </w:r>
      <w:r>
        <w:rPr>
          <w:rFonts w:cs="Times New Roman"/>
        </w:rPr>
        <w:t>F</w:t>
      </w:r>
      <w:r w:rsidRPr="00DF6550">
        <w:rPr>
          <w:rFonts w:cs="Times New Roman"/>
        </w:rPr>
        <w:t>or 2014 &amp; 2015: hydro, insurance, oil, furnace maintenance &amp; grass were $8,313 or 9.9% of $83,384 (the two years total expenses).</w:t>
      </w:r>
    </w:p>
  </w:footnote>
  <w:footnote w:id="10">
    <w:p w:rsidR="00F90449" w:rsidRPr="00F90449" w:rsidRDefault="00F90449">
      <w:pPr>
        <w:pStyle w:val="FootnoteText"/>
        <w:rPr>
          <w:lang w:val="en-US"/>
        </w:rPr>
      </w:pPr>
      <w:r>
        <w:rPr>
          <w:rStyle w:val="FootnoteReference"/>
        </w:rPr>
        <w:footnoteRef/>
      </w:r>
      <w:r>
        <w:t xml:space="preserve"> </w:t>
      </w:r>
      <w:r w:rsidRPr="00DF6550">
        <w:rPr>
          <w:rFonts w:cs="Times New Roman"/>
        </w:rPr>
        <w:t>$161,000 (Fifteen items identified by Stewards) is 178% of St. Andrew’s 2015 total expenses.</w:t>
      </w:r>
    </w:p>
  </w:footnote>
  <w:footnote w:id="11">
    <w:p w:rsidR="00F90449" w:rsidRPr="00F90449" w:rsidRDefault="00F90449">
      <w:pPr>
        <w:pStyle w:val="FootnoteText"/>
        <w:rPr>
          <w:lang w:val="en-US"/>
        </w:rPr>
      </w:pPr>
      <w:r>
        <w:rPr>
          <w:rStyle w:val="FootnoteReference"/>
        </w:rPr>
        <w:footnoteRef/>
      </w:r>
      <w:r>
        <w:t xml:space="preserve"> </w:t>
      </w:r>
      <w:r w:rsidRPr="00DF6550">
        <w:rPr>
          <w:rFonts w:cs="Times New Roman"/>
        </w:rPr>
        <w:t>For 2014 &amp; 2015: caretaker, heat, hydro, insurance, repair &amp; maintenance were $39,156 or 21% of $184,692 (the two years total expense).</w:t>
      </w:r>
    </w:p>
  </w:footnote>
  <w:footnote w:id="12">
    <w:p w:rsidR="00F90449" w:rsidRPr="00F90449" w:rsidRDefault="00F90449">
      <w:pPr>
        <w:pStyle w:val="FootnoteText"/>
        <w:rPr>
          <w:lang w:val="en-US"/>
        </w:rPr>
      </w:pPr>
      <w:r>
        <w:rPr>
          <w:rStyle w:val="FootnoteReference"/>
        </w:rPr>
        <w:footnoteRef/>
      </w:r>
      <w:r>
        <w:t xml:space="preserve"> </w:t>
      </w:r>
      <w:r w:rsidRPr="00DF6550">
        <w:rPr>
          <w:rFonts w:cs="Times New Roman"/>
        </w:rPr>
        <w:t>In UCC 1994 Year Book the average weekly attendance for the Pastoral Charge in Oct &amp; Nov was 124; in the 2014 Year Book it was 60.</w:t>
      </w:r>
    </w:p>
  </w:footnote>
  <w:footnote w:id="13">
    <w:p w:rsidR="00F90449" w:rsidRPr="00F90449" w:rsidRDefault="00F90449">
      <w:pPr>
        <w:pStyle w:val="FootnoteText"/>
        <w:rPr>
          <w:lang w:val="en-US"/>
        </w:rPr>
      </w:pPr>
      <w:r>
        <w:rPr>
          <w:rStyle w:val="FootnoteReference"/>
        </w:rPr>
        <w:footnoteRef/>
      </w:r>
      <w:r>
        <w:t xml:space="preserve"> </w:t>
      </w:r>
      <w:proofErr w:type="gramStart"/>
      <w:r w:rsidRPr="00DF6550">
        <w:rPr>
          <w:rFonts w:cs="Times New Roman"/>
        </w:rPr>
        <w:t>The Pakenham Pastoral Charge Registry of Baptisms, Marriages &amp; Burials.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78A8"/>
    <w:multiLevelType w:val="hybridMultilevel"/>
    <w:tmpl w:val="3F1A478E"/>
    <w:lvl w:ilvl="0" w:tplc="58B206FC">
      <w:start w:val="2015"/>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2EE2B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5D7636"/>
    <w:multiLevelType w:val="multilevel"/>
    <w:tmpl w:val="6852A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D81092"/>
    <w:multiLevelType w:val="hybridMultilevel"/>
    <w:tmpl w:val="B62E9E1E"/>
    <w:lvl w:ilvl="0" w:tplc="01067DC6">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841D2"/>
    <w:multiLevelType w:val="multilevel"/>
    <w:tmpl w:val="D8ACD852"/>
    <w:numStyleLink w:val="Style1"/>
  </w:abstractNum>
  <w:abstractNum w:abstractNumId="5">
    <w:nsid w:val="4C4C4C90"/>
    <w:multiLevelType w:val="multilevel"/>
    <w:tmpl w:val="D8ACD852"/>
    <w:styleLink w:val="Style1"/>
    <w:lvl w:ilvl="0">
      <w:start w:val="1"/>
      <w:numFmt w:val="decimal"/>
      <w:lvlText w:val="%1.0"/>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57E6580F"/>
    <w:multiLevelType w:val="multilevel"/>
    <w:tmpl w:val="D8ACD8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8956777"/>
    <w:multiLevelType w:val="multilevel"/>
    <w:tmpl w:val="D8ACD8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E240CBA"/>
    <w:multiLevelType w:val="hybridMultilevel"/>
    <w:tmpl w:val="E2DE0D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0A"/>
    <w:rsid w:val="000159F6"/>
    <w:rsid w:val="00044534"/>
    <w:rsid w:val="00044627"/>
    <w:rsid w:val="00061242"/>
    <w:rsid w:val="00066355"/>
    <w:rsid w:val="00074546"/>
    <w:rsid w:val="000A6DA4"/>
    <w:rsid w:val="000B387A"/>
    <w:rsid w:val="000D63A6"/>
    <w:rsid w:val="000D7F3E"/>
    <w:rsid w:val="000F1A93"/>
    <w:rsid w:val="00100F34"/>
    <w:rsid w:val="00101CC2"/>
    <w:rsid w:val="0011080A"/>
    <w:rsid w:val="00157C71"/>
    <w:rsid w:val="00185530"/>
    <w:rsid w:val="001A20FC"/>
    <w:rsid w:val="00212A91"/>
    <w:rsid w:val="002244BB"/>
    <w:rsid w:val="00230CF2"/>
    <w:rsid w:val="00250D76"/>
    <w:rsid w:val="00284585"/>
    <w:rsid w:val="002953CB"/>
    <w:rsid w:val="002D6EA3"/>
    <w:rsid w:val="002E0DE9"/>
    <w:rsid w:val="002E48DB"/>
    <w:rsid w:val="00320F73"/>
    <w:rsid w:val="00331FFD"/>
    <w:rsid w:val="0035131B"/>
    <w:rsid w:val="00380F2C"/>
    <w:rsid w:val="003A6EB4"/>
    <w:rsid w:val="003D19F0"/>
    <w:rsid w:val="003F482A"/>
    <w:rsid w:val="003F792D"/>
    <w:rsid w:val="00404155"/>
    <w:rsid w:val="00404355"/>
    <w:rsid w:val="00412BA0"/>
    <w:rsid w:val="00417D6E"/>
    <w:rsid w:val="004211F5"/>
    <w:rsid w:val="00422B91"/>
    <w:rsid w:val="004269D2"/>
    <w:rsid w:val="00447A5D"/>
    <w:rsid w:val="0046582C"/>
    <w:rsid w:val="00474B3C"/>
    <w:rsid w:val="00491161"/>
    <w:rsid w:val="004C3AB5"/>
    <w:rsid w:val="004D70B3"/>
    <w:rsid w:val="00527185"/>
    <w:rsid w:val="00552769"/>
    <w:rsid w:val="00563CB3"/>
    <w:rsid w:val="005B45A1"/>
    <w:rsid w:val="005B7B9C"/>
    <w:rsid w:val="005D4123"/>
    <w:rsid w:val="00602FA4"/>
    <w:rsid w:val="00614B4C"/>
    <w:rsid w:val="0062752B"/>
    <w:rsid w:val="00643FBB"/>
    <w:rsid w:val="006A221F"/>
    <w:rsid w:val="006A5EC1"/>
    <w:rsid w:val="006A6363"/>
    <w:rsid w:val="006D5ACA"/>
    <w:rsid w:val="00714C0E"/>
    <w:rsid w:val="007171E5"/>
    <w:rsid w:val="0074231E"/>
    <w:rsid w:val="00756C2C"/>
    <w:rsid w:val="00764E73"/>
    <w:rsid w:val="00783464"/>
    <w:rsid w:val="007B01C7"/>
    <w:rsid w:val="008121D7"/>
    <w:rsid w:val="008372F7"/>
    <w:rsid w:val="00861093"/>
    <w:rsid w:val="0086201F"/>
    <w:rsid w:val="00867212"/>
    <w:rsid w:val="00870F9B"/>
    <w:rsid w:val="00872123"/>
    <w:rsid w:val="008C1CE9"/>
    <w:rsid w:val="008D1DCB"/>
    <w:rsid w:val="008D4F40"/>
    <w:rsid w:val="008E2151"/>
    <w:rsid w:val="008E7BEA"/>
    <w:rsid w:val="008F6902"/>
    <w:rsid w:val="00901DEB"/>
    <w:rsid w:val="009326AE"/>
    <w:rsid w:val="00986636"/>
    <w:rsid w:val="009A1782"/>
    <w:rsid w:val="009B4761"/>
    <w:rsid w:val="009C3BC7"/>
    <w:rsid w:val="009D1E40"/>
    <w:rsid w:val="009D2840"/>
    <w:rsid w:val="00A00E63"/>
    <w:rsid w:val="00A02A8B"/>
    <w:rsid w:val="00A43275"/>
    <w:rsid w:val="00A53226"/>
    <w:rsid w:val="00A63672"/>
    <w:rsid w:val="00A72BC0"/>
    <w:rsid w:val="00AA3B52"/>
    <w:rsid w:val="00AD179D"/>
    <w:rsid w:val="00AF2753"/>
    <w:rsid w:val="00B11053"/>
    <w:rsid w:val="00B178FA"/>
    <w:rsid w:val="00B25DB8"/>
    <w:rsid w:val="00B43767"/>
    <w:rsid w:val="00B77730"/>
    <w:rsid w:val="00B843CD"/>
    <w:rsid w:val="00B85739"/>
    <w:rsid w:val="00B94E80"/>
    <w:rsid w:val="00B96873"/>
    <w:rsid w:val="00BA5A8A"/>
    <w:rsid w:val="00BE11FC"/>
    <w:rsid w:val="00C105DB"/>
    <w:rsid w:val="00C27D59"/>
    <w:rsid w:val="00C36FF5"/>
    <w:rsid w:val="00C81D8F"/>
    <w:rsid w:val="00C925F1"/>
    <w:rsid w:val="00C97CBF"/>
    <w:rsid w:val="00CB100C"/>
    <w:rsid w:val="00CD122B"/>
    <w:rsid w:val="00CE3FEF"/>
    <w:rsid w:val="00D01C81"/>
    <w:rsid w:val="00D56E17"/>
    <w:rsid w:val="00D82810"/>
    <w:rsid w:val="00D8647C"/>
    <w:rsid w:val="00DC5797"/>
    <w:rsid w:val="00DD4848"/>
    <w:rsid w:val="00DF1842"/>
    <w:rsid w:val="00DF6550"/>
    <w:rsid w:val="00E262BE"/>
    <w:rsid w:val="00E262D0"/>
    <w:rsid w:val="00E34457"/>
    <w:rsid w:val="00E37219"/>
    <w:rsid w:val="00E430D4"/>
    <w:rsid w:val="00E54AA6"/>
    <w:rsid w:val="00E6471E"/>
    <w:rsid w:val="00E76CC1"/>
    <w:rsid w:val="00E825DD"/>
    <w:rsid w:val="00E97131"/>
    <w:rsid w:val="00ED2A8B"/>
    <w:rsid w:val="00ED7126"/>
    <w:rsid w:val="00EF3B60"/>
    <w:rsid w:val="00EF7AF4"/>
    <w:rsid w:val="00F01841"/>
    <w:rsid w:val="00F270A9"/>
    <w:rsid w:val="00F446E5"/>
    <w:rsid w:val="00F65EEE"/>
    <w:rsid w:val="00F757F1"/>
    <w:rsid w:val="00F90449"/>
    <w:rsid w:val="00F95475"/>
    <w:rsid w:val="00FC55F7"/>
    <w:rsid w:val="00FC73D3"/>
    <w:rsid w:val="00FD0A54"/>
    <w:rsid w:val="00FE3A44"/>
    <w:rsid w:val="00FE7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EF"/>
    <w:pPr>
      <w:ind w:left="720"/>
      <w:contextualSpacing/>
    </w:pPr>
  </w:style>
  <w:style w:type="paragraph" w:customStyle="1" w:styleId="selectionshareable">
    <w:name w:val="selectionshareable"/>
    <w:basedOn w:val="Normal"/>
    <w:rsid w:val="00230C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5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76"/>
    <w:rPr>
      <w:rFonts w:ascii="Segoe UI" w:hAnsi="Segoe UI" w:cs="Segoe UI"/>
      <w:sz w:val="18"/>
      <w:szCs w:val="18"/>
    </w:rPr>
  </w:style>
  <w:style w:type="paragraph" w:styleId="Header">
    <w:name w:val="header"/>
    <w:basedOn w:val="Normal"/>
    <w:link w:val="HeaderChar"/>
    <w:uiPriority w:val="99"/>
    <w:unhideWhenUsed/>
    <w:rsid w:val="00C2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59"/>
  </w:style>
  <w:style w:type="paragraph" w:styleId="Footer">
    <w:name w:val="footer"/>
    <w:basedOn w:val="Normal"/>
    <w:link w:val="FooterChar"/>
    <w:uiPriority w:val="99"/>
    <w:unhideWhenUsed/>
    <w:rsid w:val="00C2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59"/>
  </w:style>
  <w:style w:type="table" w:styleId="TableGrid">
    <w:name w:val="Table Grid"/>
    <w:basedOn w:val="TableNormal"/>
    <w:uiPriority w:val="39"/>
    <w:rsid w:val="00F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C5797"/>
    <w:pPr>
      <w:numPr>
        <w:numId w:val="7"/>
      </w:numPr>
    </w:pPr>
  </w:style>
  <w:style w:type="paragraph" w:styleId="FootnoteText">
    <w:name w:val="footnote text"/>
    <w:basedOn w:val="Normal"/>
    <w:link w:val="FootnoteTextChar"/>
    <w:uiPriority w:val="99"/>
    <w:semiHidden/>
    <w:unhideWhenUsed/>
    <w:rsid w:val="00A43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5"/>
    <w:rPr>
      <w:sz w:val="20"/>
      <w:szCs w:val="20"/>
    </w:rPr>
  </w:style>
  <w:style w:type="character" w:styleId="FootnoteReference">
    <w:name w:val="footnote reference"/>
    <w:basedOn w:val="DefaultParagraphFont"/>
    <w:uiPriority w:val="99"/>
    <w:semiHidden/>
    <w:unhideWhenUsed/>
    <w:rsid w:val="00A432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EF"/>
    <w:pPr>
      <w:ind w:left="720"/>
      <w:contextualSpacing/>
    </w:pPr>
  </w:style>
  <w:style w:type="paragraph" w:customStyle="1" w:styleId="selectionshareable">
    <w:name w:val="selectionshareable"/>
    <w:basedOn w:val="Normal"/>
    <w:rsid w:val="00230C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5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76"/>
    <w:rPr>
      <w:rFonts w:ascii="Segoe UI" w:hAnsi="Segoe UI" w:cs="Segoe UI"/>
      <w:sz w:val="18"/>
      <w:szCs w:val="18"/>
    </w:rPr>
  </w:style>
  <w:style w:type="paragraph" w:styleId="Header">
    <w:name w:val="header"/>
    <w:basedOn w:val="Normal"/>
    <w:link w:val="HeaderChar"/>
    <w:uiPriority w:val="99"/>
    <w:unhideWhenUsed/>
    <w:rsid w:val="00C2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59"/>
  </w:style>
  <w:style w:type="paragraph" w:styleId="Footer">
    <w:name w:val="footer"/>
    <w:basedOn w:val="Normal"/>
    <w:link w:val="FooterChar"/>
    <w:uiPriority w:val="99"/>
    <w:unhideWhenUsed/>
    <w:rsid w:val="00C2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59"/>
  </w:style>
  <w:style w:type="table" w:styleId="TableGrid">
    <w:name w:val="Table Grid"/>
    <w:basedOn w:val="TableNormal"/>
    <w:uiPriority w:val="39"/>
    <w:rsid w:val="00F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C5797"/>
    <w:pPr>
      <w:numPr>
        <w:numId w:val="7"/>
      </w:numPr>
    </w:pPr>
  </w:style>
  <w:style w:type="paragraph" w:styleId="FootnoteText">
    <w:name w:val="footnote text"/>
    <w:basedOn w:val="Normal"/>
    <w:link w:val="FootnoteTextChar"/>
    <w:uiPriority w:val="99"/>
    <w:semiHidden/>
    <w:unhideWhenUsed/>
    <w:rsid w:val="00A43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5"/>
    <w:rPr>
      <w:sz w:val="20"/>
      <w:szCs w:val="20"/>
    </w:rPr>
  </w:style>
  <w:style w:type="character" w:styleId="FootnoteReference">
    <w:name w:val="footnote reference"/>
    <w:basedOn w:val="DefaultParagraphFont"/>
    <w:uiPriority w:val="99"/>
    <w:semiHidden/>
    <w:unhideWhenUsed/>
    <w:rsid w:val="00A43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5524">
      <w:bodyDiv w:val="1"/>
      <w:marLeft w:val="0"/>
      <w:marRight w:val="0"/>
      <w:marTop w:val="0"/>
      <w:marBottom w:val="0"/>
      <w:divBdr>
        <w:top w:val="none" w:sz="0" w:space="0" w:color="auto"/>
        <w:left w:val="none" w:sz="0" w:space="0" w:color="auto"/>
        <w:bottom w:val="none" w:sz="0" w:space="0" w:color="auto"/>
        <w:right w:val="none" w:sz="0" w:space="0" w:color="auto"/>
      </w:divBdr>
    </w:div>
    <w:div w:id="1366909106">
      <w:bodyDiv w:val="1"/>
      <w:marLeft w:val="0"/>
      <w:marRight w:val="0"/>
      <w:marTop w:val="0"/>
      <w:marBottom w:val="0"/>
      <w:divBdr>
        <w:top w:val="none" w:sz="0" w:space="0" w:color="auto"/>
        <w:left w:val="none" w:sz="0" w:space="0" w:color="auto"/>
        <w:bottom w:val="none" w:sz="0" w:space="0" w:color="auto"/>
        <w:right w:val="none" w:sz="0" w:space="0" w:color="auto"/>
      </w:divBdr>
    </w:div>
    <w:div w:id="1396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honda\Documents\ALL%20ACTIVE\CHURCH\STRATEGIC%20PLANNING\Spreadsheets%20&amp;%20Charts%20-%20Change%20in%20Age%20of%20Identifiable%20Givers%2016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honda\Documents\ALL%20ACTIVE\CHURCH\STRATEGIC%20PLANNING\Spreadsheets%20&amp;%20Charts%20-%20Change%20in%20Age%20of%20Identifiable%20Givers%2016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honda\Documents\ALL%20ACTIVE\CHURCH\STRATEGIC%20PLANNING\Spreadsheets%20&amp;%20Charts%20-%20Change%20in%20Age%20of%20Identifiable%20Givers%2016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honda\Documents\ALL%20ACTIVE\CHURCH\STRATEGIC%20PLANNING\Spreadsheets%20&amp;%20Charts%20-%20Change%20in%20Age%20of%20Identifiable%20Givers%2016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honda\Documents\ALL%20ACTIVE\CHURCH\STRATEGIC%20PLANNING\Spreadsheets%20&amp;%20Charts%20-%20Change%20in%20Age%20of%20Identifiable%20Givers%2016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'Chn in # of Identrifiable Giver'!$B$4</c:f>
              <c:strCache>
                <c:ptCount val="1"/>
                <c:pt idx="0">
                  <c:v>St. Andrew's</c:v>
                </c:pt>
              </c:strCache>
            </c:strRef>
          </c:tx>
          <c:spPr>
            <a:solidFill>
              <a:schemeClr val="bg1">
                <a:lumMod val="65000"/>
              </a:schemeClr>
            </a:solidFill>
            <a:effectLst>
              <a:outerShdw blurRad="50800" dist="38100" dir="2700000" algn="tl" rotWithShape="0">
                <a:prstClr val="black">
                  <a:alpha val="40000"/>
                </a:prstClr>
              </a:outerShdw>
            </a:effectLst>
          </c:spPr>
          <c:invertIfNegative val="0"/>
          <c:dLbls>
            <c:dLblPos val="outEnd"/>
            <c:showLegendKey val="0"/>
            <c:showVal val="1"/>
            <c:showCatName val="0"/>
            <c:showSerName val="0"/>
            <c:showPercent val="0"/>
            <c:showBubbleSize val="0"/>
            <c:showLeaderLines val="0"/>
          </c:dLbls>
          <c:cat>
            <c:numRef>
              <c:f>'Chn in # of Identrifiable Giver'!$C$3:$E$3</c:f>
              <c:numCache>
                <c:formatCode>General</c:formatCode>
                <c:ptCount val="3"/>
                <c:pt idx="0">
                  <c:v>2006</c:v>
                </c:pt>
                <c:pt idx="1">
                  <c:v>2010</c:v>
                </c:pt>
                <c:pt idx="2">
                  <c:v>2014</c:v>
                </c:pt>
              </c:numCache>
            </c:numRef>
          </c:cat>
          <c:val>
            <c:numRef>
              <c:f>'Chn in # of Identrifiable Giver'!$C$4:$E$4</c:f>
              <c:numCache>
                <c:formatCode>0</c:formatCode>
                <c:ptCount val="3"/>
                <c:pt idx="0">
                  <c:v>126</c:v>
                </c:pt>
                <c:pt idx="1">
                  <c:v>129</c:v>
                </c:pt>
                <c:pt idx="2">
                  <c:v>121</c:v>
                </c:pt>
              </c:numCache>
            </c:numRef>
          </c:val>
        </c:ser>
        <c:ser>
          <c:idx val="1"/>
          <c:order val="1"/>
          <c:tx>
            <c:strRef>
              <c:f>'Chn in # of Identrifiable Giver'!$B$5</c:f>
              <c:strCache>
                <c:ptCount val="1"/>
                <c:pt idx="0">
                  <c:v>Zion</c:v>
                </c:pt>
              </c:strCache>
            </c:strRef>
          </c:tx>
          <c:spPr>
            <a:solidFill>
              <a:schemeClr val="tx1"/>
            </a:solidFill>
            <a:effectLst>
              <a:outerShdw blurRad="50800" dist="38100" dir="2700000" algn="tl" rotWithShape="0">
                <a:prstClr val="black">
                  <a:alpha val="40000"/>
                </a:prstClr>
              </a:outerShdw>
            </a:effectLst>
          </c:spPr>
          <c:invertIfNegative val="0"/>
          <c:dLbls>
            <c:dLblPos val="outEnd"/>
            <c:showLegendKey val="0"/>
            <c:showVal val="1"/>
            <c:showCatName val="0"/>
            <c:showSerName val="0"/>
            <c:showPercent val="0"/>
            <c:showBubbleSize val="0"/>
            <c:showLeaderLines val="0"/>
          </c:dLbls>
          <c:cat>
            <c:numRef>
              <c:f>'Chn in # of Identrifiable Giver'!$C$3:$E$3</c:f>
              <c:numCache>
                <c:formatCode>General</c:formatCode>
                <c:ptCount val="3"/>
                <c:pt idx="0">
                  <c:v>2006</c:v>
                </c:pt>
                <c:pt idx="1">
                  <c:v>2010</c:v>
                </c:pt>
                <c:pt idx="2">
                  <c:v>2014</c:v>
                </c:pt>
              </c:numCache>
            </c:numRef>
          </c:cat>
          <c:val>
            <c:numRef>
              <c:f>'Chn in # of Identrifiable Giver'!$C$5:$E$5</c:f>
              <c:numCache>
                <c:formatCode>0</c:formatCode>
                <c:ptCount val="3"/>
                <c:pt idx="0">
                  <c:v>64</c:v>
                </c:pt>
                <c:pt idx="1">
                  <c:v>84</c:v>
                </c:pt>
                <c:pt idx="2">
                  <c:v>76</c:v>
                </c:pt>
              </c:numCache>
            </c:numRef>
          </c:val>
        </c:ser>
        <c:dLbls>
          <c:showLegendKey val="0"/>
          <c:showVal val="0"/>
          <c:showCatName val="0"/>
          <c:showSerName val="0"/>
          <c:showPercent val="0"/>
          <c:showBubbleSize val="0"/>
        </c:dLbls>
        <c:gapWidth val="150"/>
        <c:axId val="80736640"/>
        <c:axId val="80738176"/>
      </c:barChart>
      <c:catAx>
        <c:axId val="80736640"/>
        <c:scaling>
          <c:orientation val="minMax"/>
        </c:scaling>
        <c:delete val="0"/>
        <c:axPos val="b"/>
        <c:numFmt formatCode="General" sourceLinked="1"/>
        <c:majorTickMark val="out"/>
        <c:minorTickMark val="none"/>
        <c:tickLblPos val="nextTo"/>
        <c:crossAx val="80738176"/>
        <c:crosses val="autoZero"/>
        <c:auto val="1"/>
        <c:lblAlgn val="ctr"/>
        <c:lblOffset val="100"/>
        <c:noMultiLvlLbl val="0"/>
      </c:catAx>
      <c:valAx>
        <c:axId val="80738176"/>
        <c:scaling>
          <c:orientation val="minMax"/>
        </c:scaling>
        <c:delete val="0"/>
        <c:axPos val="l"/>
        <c:numFmt formatCode="0" sourceLinked="1"/>
        <c:majorTickMark val="out"/>
        <c:minorTickMark val="none"/>
        <c:tickLblPos val="nextTo"/>
        <c:crossAx val="80736640"/>
        <c:crosses val="autoZero"/>
        <c:crossBetween val="between"/>
      </c:valAx>
    </c:plotArea>
    <c:legend>
      <c:legendPos val="r"/>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'Chn in Age Group ID Givers'!$B$3</c:f>
              <c:strCache>
                <c:ptCount val="1"/>
                <c:pt idx="0">
                  <c:v>2006</c:v>
                </c:pt>
              </c:strCache>
            </c:strRef>
          </c:tx>
          <c:spPr>
            <a:ln w="38100">
              <a:solidFill>
                <a:sysClr val="windowText" lastClr="000000"/>
              </a:solidFill>
            </a:ln>
            <a:effectLst>
              <a:outerShdw blurRad="50800" dist="38100" dir="2700000" algn="tl" rotWithShape="0">
                <a:prstClr val="black">
                  <a:alpha val="40000"/>
                </a:prstClr>
              </a:outerShdw>
            </a:effectLst>
          </c:spPr>
          <c:marker>
            <c:spPr>
              <a:solidFill>
                <a:schemeClr val="tx1"/>
              </a:solidFill>
              <a:ln w="38100">
                <a:solidFill>
                  <a:sysClr val="windowText" lastClr="000000"/>
                </a:solidFill>
              </a:ln>
              <a:effectLst>
                <a:outerShdw blurRad="50800" dist="38100" dir="2700000" algn="tl" rotWithShape="0">
                  <a:prstClr val="black">
                    <a:alpha val="40000"/>
                  </a:prstClr>
                </a:outerShdw>
              </a:effectLst>
            </c:spPr>
          </c:marker>
          <c:cat>
            <c:strRef>
              <c:f>'Chn in Age Group ID Givers'!$A$4:$A$10</c:f>
              <c:strCache>
                <c:ptCount val="7"/>
                <c:pt idx="0">
                  <c:v>18-34</c:v>
                </c:pt>
                <c:pt idx="1">
                  <c:v>35-44</c:v>
                </c:pt>
                <c:pt idx="2">
                  <c:v>45-54</c:v>
                </c:pt>
                <c:pt idx="3">
                  <c:v>55-64</c:v>
                </c:pt>
                <c:pt idx="4">
                  <c:v>65-74</c:v>
                </c:pt>
                <c:pt idx="5">
                  <c:v>74-84</c:v>
                </c:pt>
                <c:pt idx="6">
                  <c:v>84+</c:v>
                </c:pt>
              </c:strCache>
            </c:strRef>
          </c:cat>
          <c:val>
            <c:numRef>
              <c:f>'Chn in Age Group ID Givers'!$B$4:$B$10</c:f>
              <c:numCache>
                <c:formatCode>General</c:formatCode>
                <c:ptCount val="7"/>
                <c:pt idx="0">
                  <c:v>10</c:v>
                </c:pt>
                <c:pt idx="1">
                  <c:v>14</c:v>
                </c:pt>
                <c:pt idx="2">
                  <c:v>15</c:v>
                </c:pt>
                <c:pt idx="3">
                  <c:v>33</c:v>
                </c:pt>
                <c:pt idx="4">
                  <c:v>32</c:v>
                </c:pt>
                <c:pt idx="5">
                  <c:v>19</c:v>
                </c:pt>
                <c:pt idx="6">
                  <c:v>3</c:v>
                </c:pt>
              </c:numCache>
            </c:numRef>
          </c:val>
          <c:smooth val="0"/>
        </c:ser>
        <c:ser>
          <c:idx val="1"/>
          <c:order val="1"/>
          <c:tx>
            <c:strRef>
              <c:f>'Chn in Age Group ID Givers'!$C$3</c:f>
              <c:strCache>
                <c:ptCount val="1"/>
                <c:pt idx="0">
                  <c:v>2010</c:v>
                </c:pt>
              </c:strCache>
            </c:strRef>
          </c:tx>
          <c:spPr>
            <a:ln w="38100">
              <a:solidFill>
                <a:schemeClr val="bg1">
                  <a:lumMod val="50000"/>
                </a:schemeClr>
              </a:solidFill>
            </a:ln>
            <a:effectLst>
              <a:outerShdw blurRad="50800" dist="38100" dir="2700000" algn="tl" rotWithShape="0">
                <a:prstClr val="black">
                  <a:alpha val="40000"/>
                </a:prstClr>
              </a:outerShdw>
            </a:effectLst>
          </c:spPr>
          <c:marker>
            <c:spPr>
              <a:solidFill>
                <a:schemeClr val="bg1">
                  <a:lumMod val="50000"/>
                </a:schemeClr>
              </a:solidFill>
              <a:ln w="38100">
                <a:solidFill>
                  <a:schemeClr val="bg1">
                    <a:lumMod val="50000"/>
                  </a:schemeClr>
                </a:solidFill>
              </a:ln>
              <a:effectLst>
                <a:outerShdw blurRad="50800" dist="38100" dir="2700000" algn="tl" rotWithShape="0">
                  <a:prstClr val="black">
                    <a:alpha val="40000"/>
                  </a:prstClr>
                </a:outerShdw>
              </a:effectLst>
            </c:spPr>
          </c:marker>
          <c:cat>
            <c:strRef>
              <c:f>'Chn in Age Group ID Givers'!$A$4:$A$10</c:f>
              <c:strCache>
                <c:ptCount val="7"/>
                <c:pt idx="0">
                  <c:v>18-34</c:v>
                </c:pt>
                <c:pt idx="1">
                  <c:v>35-44</c:v>
                </c:pt>
                <c:pt idx="2">
                  <c:v>45-54</c:v>
                </c:pt>
                <c:pt idx="3">
                  <c:v>55-64</c:v>
                </c:pt>
                <c:pt idx="4">
                  <c:v>65-74</c:v>
                </c:pt>
                <c:pt idx="5">
                  <c:v>74-84</c:v>
                </c:pt>
                <c:pt idx="6">
                  <c:v>84+</c:v>
                </c:pt>
              </c:strCache>
            </c:strRef>
          </c:cat>
          <c:val>
            <c:numRef>
              <c:f>'Chn in Age Group ID Givers'!$C$4:$C$10</c:f>
              <c:numCache>
                <c:formatCode>General</c:formatCode>
                <c:ptCount val="7"/>
                <c:pt idx="0">
                  <c:v>3</c:v>
                </c:pt>
                <c:pt idx="1">
                  <c:v>8</c:v>
                </c:pt>
                <c:pt idx="2">
                  <c:v>24</c:v>
                </c:pt>
                <c:pt idx="3">
                  <c:v>31</c:v>
                </c:pt>
                <c:pt idx="4">
                  <c:v>22</c:v>
                </c:pt>
                <c:pt idx="5">
                  <c:v>30</c:v>
                </c:pt>
                <c:pt idx="6">
                  <c:v>10</c:v>
                </c:pt>
              </c:numCache>
            </c:numRef>
          </c:val>
          <c:smooth val="0"/>
        </c:ser>
        <c:ser>
          <c:idx val="2"/>
          <c:order val="2"/>
          <c:tx>
            <c:strRef>
              <c:f>'Chn in Age Group ID Givers'!$D$3</c:f>
              <c:strCache>
                <c:ptCount val="1"/>
                <c:pt idx="0">
                  <c:v>2014</c:v>
                </c:pt>
              </c:strCache>
            </c:strRef>
          </c:tx>
          <c:spPr>
            <a:ln w="38100">
              <a:solidFill>
                <a:schemeClr val="bg1">
                  <a:lumMod val="85000"/>
                </a:schemeClr>
              </a:solidFill>
            </a:ln>
            <a:effectLst>
              <a:outerShdw blurRad="50800" dist="38100" dir="2700000" algn="tl" rotWithShape="0">
                <a:prstClr val="black">
                  <a:alpha val="40000"/>
                </a:prstClr>
              </a:outerShdw>
            </a:effectLst>
          </c:spPr>
          <c:marker>
            <c:spPr>
              <a:solidFill>
                <a:schemeClr val="bg1">
                  <a:lumMod val="85000"/>
                </a:schemeClr>
              </a:solidFill>
              <a:ln w="38100">
                <a:solidFill>
                  <a:schemeClr val="bg1">
                    <a:lumMod val="85000"/>
                  </a:schemeClr>
                </a:solidFill>
              </a:ln>
              <a:effectLst>
                <a:outerShdw blurRad="50800" dist="38100" dir="2700000" algn="tl" rotWithShape="0">
                  <a:prstClr val="black">
                    <a:alpha val="40000"/>
                  </a:prstClr>
                </a:outerShdw>
              </a:effectLst>
            </c:spPr>
          </c:marker>
          <c:cat>
            <c:strRef>
              <c:f>'Chn in Age Group ID Givers'!$A$4:$A$10</c:f>
              <c:strCache>
                <c:ptCount val="7"/>
                <c:pt idx="0">
                  <c:v>18-34</c:v>
                </c:pt>
                <c:pt idx="1">
                  <c:v>35-44</c:v>
                </c:pt>
                <c:pt idx="2">
                  <c:v>45-54</c:v>
                </c:pt>
                <c:pt idx="3">
                  <c:v>55-64</c:v>
                </c:pt>
                <c:pt idx="4">
                  <c:v>65-74</c:v>
                </c:pt>
                <c:pt idx="5">
                  <c:v>74-84</c:v>
                </c:pt>
                <c:pt idx="6">
                  <c:v>84+</c:v>
                </c:pt>
              </c:strCache>
            </c:strRef>
          </c:cat>
          <c:val>
            <c:numRef>
              <c:f>'Chn in Age Group ID Givers'!$D$4:$D$10</c:f>
              <c:numCache>
                <c:formatCode>General</c:formatCode>
                <c:ptCount val="7"/>
                <c:pt idx="0">
                  <c:v>7</c:v>
                </c:pt>
                <c:pt idx="1">
                  <c:v>8</c:v>
                </c:pt>
                <c:pt idx="2">
                  <c:v>12</c:v>
                </c:pt>
                <c:pt idx="3">
                  <c:v>23</c:v>
                </c:pt>
                <c:pt idx="4">
                  <c:v>33</c:v>
                </c:pt>
                <c:pt idx="5">
                  <c:v>26</c:v>
                </c:pt>
                <c:pt idx="6">
                  <c:v>13</c:v>
                </c:pt>
              </c:numCache>
            </c:numRef>
          </c:val>
          <c:smooth val="0"/>
        </c:ser>
        <c:dLbls>
          <c:showLegendKey val="0"/>
          <c:showVal val="0"/>
          <c:showCatName val="0"/>
          <c:showSerName val="0"/>
          <c:showPercent val="0"/>
          <c:showBubbleSize val="0"/>
        </c:dLbls>
        <c:marker val="1"/>
        <c:smooth val="0"/>
        <c:axId val="111692416"/>
        <c:axId val="111694592"/>
      </c:lineChart>
      <c:catAx>
        <c:axId val="111692416"/>
        <c:scaling>
          <c:orientation val="minMax"/>
        </c:scaling>
        <c:delete val="0"/>
        <c:axPos val="b"/>
        <c:majorTickMark val="out"/>
        <c:minorTickMark val="none"/>
        <c:tickLblPos val="nextTo"/>
        <c:txPr>
          <a:bodyPr rot="5400000" vert="horz"/>
          <a:lstStyle/>
          <a:p>
            <a:pPr>
              <a:defRPr/>
            </a:pPr>
            <a:endParaRPr lang="en-US"/>
          </a:p>
        </c:txPr>
        <c:crossAx val="111694592"/>
        <c:crosses val="autoZero"/>
        <c:auto val="1"/>
        <c:lblAlgn val="ctr"/>
        <c:lblOffset val="100"/>
        <c:noMultiLvlLbl val="0"/>
      </c:catAx>
      <c:valAx>
        <c:axId val="111694592"/>
        <c:scaling>
          <c:orientation val="minMax"/>
        </c:scaling>
        <c:delete val="0"/>
        <c:axPos val="l"/>
        <c:majorGridlines/>
        <c:numFmt formatCode="General" sourceLinked="1"/>
        <c:majorTickMark val="out"/>
        <c:minorTickMark val="none"/>
        <c:tickLblPos val="nextTo"/>
        <c:crossAx val="111692416"/>
        <c:crosses val="autoZero"/>
        <c:crossBetween val="between"/>
      </c:valAx>
    </c:plotArea>
    <c:legend>
      <c:legendPos val="r"/>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'Chn in Age Group ID Givers'!$K$3</c:f>
              <c:strCache>
                <c:ptCount val="1"/>
                <c:pt idx="0">
                  <c:v>2006</c:v>
                </c:pt>
              </c:strCache>
            </c:strRef>
          </c:tx>
          <c:spPr>
            <a:ln w="38100">
              <a:solidFill>
                <a:sysClr val="windowText" lastClr="000000"/>
              </a:solidFill>
            </a:ln>
            <a:effectLst>
              <a:outerShdw blurRad="50800" dist="38100" dir="2700000" algn="tl" rotWithShape="0">
                <a:prstClr val="black">
                  <a:alpha val="40000"/>
                </a:prstClr>
              </a:outerShdw>
            </a:effectLst>
          </c:spPr>
          <c:marker>
            <c:spPr>
              <a:solidFill>
                <a:schemeClr val="tx1"/>
              </a:solidFill>
              <a:ln w="38100">
                <a:solidFill>
                  <a:sysClr val="windowText" lastClr="000000"/>
                </a:solidFill>
              </a:ln>
              <a:effectLst>
                <a:outerShdw blurRad="50800" dist="38100" dir="2700000" algn="tl" rotWithShape="0">
                  <a:prstClr val="black">
                    <a:alpha val="40000"/>
                  </a:prstClr>
                </a:outerShdw>
              </a:effectLst>
            </c:spPr>
          </c:marker>
          <c:cat>
            <c:strRef>
              <c:f>'Chn in Age Group ID Givers'!$J$4:$J$10</c:f>
              <c:strCache>
                <c:ptCount val="7"/>
                <c:pt idx="0">
                  <c:v>18-34</c:v>
                </c:pt>
                <c:pt idx="1">
                  <c:v>35-44</c:v>
                </c:pt>
                <c:pt idx="2">
                  <c:v>45-54</c:v>
                </c:pt>
                <c:pt idx="3">
                  <c:v>55-64</c:v>
                </c:pt>
                <c:pt idx="4">
                  <c:v>65-74</c:v>
                </c:pt>
                <c:pt idx="5">
                  <c:v>74-84</c:v>
                </c:pt>
                <c:pt idx="6">
                  <c:v>84+</c:v>
                </c:pt>
              </c:strCache>
            </c:strRef>
          </c:cat>
          <c:val>
            <c:numRef>
              <c:f>'Chn in Age Group ID Givers'!$K$4:$K$10</c:f>
              <c:numCache>
                <c:formatCode>General</c:formatCode>
                <c:ptCount val="7"/>
                <c:pt idx="0">
                  <c:v>9</c:v>
                </c:pt>
                <c:pt idx="1">
                  <c:v>9</c:v>
                </c:pt>
                <c:pt idx="2">
                  <c:v>10</c:v>
                </c:pt>
                <c:pt idx="3">
                  <c:v>13</c:v>
                </c:pt>
                <c:pt idx="4">
                  <c:v>18</c:v>
                </c:pt>
                <c:pt idx="5">
                  <c:v>6</c:v>
                </c:pt>
                <c:pt idx="6">
                  <c:v>1</c:v>
                </c:pt>
              </c:numCache>
            </c:numRef>
          </c:val>
          <c:smooth val="0"/>
        </c:ser>
        <c:ser>
          <c:idx val="1"/>
          <c:order val="1"/>
          <c:tx>
            <c:strRef>
              <c:f>'Chn in Age Group ID Givers'!$L$3</c:f>
              <c:strCache>
                <c:ptCount val="1"/>
                <c:pt idx="0">
                  <c:v>2010</c:v>
                </c:pt>
              </c:strCache>
            </c:strRef>
          </c:tx>
          <c:spPr>
            <a:ln w="38100">
              <a:solidFill>
                <a:schemeClr val="bg1">
                  <a:lumMod val="50000"/>
                </a:schemeClr>
              </a:solidFill>
            </a:ln>
            <a:effectLst>
              <a:outerShdw blurRad="50800" dist="38100" dir="2700000" algn="tl" rotWithShape="0">
                <a:prstClr val="black">
                  <a:alpha val="40000"/>
                </a:prstClr>
              </a:outerShdw>
            </a:effectLst>
          </c:spPr>
          <c:marker>
            <c:spPr>
              <a:solidFill>
                <a:schemeClr val="bg1">
                  <a:lumMod val="50000"/>
                </a:schemeClr>
              </a:solidFill>
              <a:ln w="38100">
                <a:solidFill>
                  <a:schemeClr val="bg1">
                    <a:lumMod val="50000"/>
                  </a:schemeClr>
                </a:solidFill>
              </a:ln>
              <a:effectLst>
                <a:outerShdw blurRad="50800" dist="38100" dir="2700000" algn="tl" rotWithShape="0">
                  <a:prstClr val="black">
                    <a:alpha val="40000"/>
                  </a:prstClr>
                </a:outerShdw>
              </a:effectLst>
            </c:spPr>
          </c:marker>
          <c:cat>
            <c:strRef>
              <c:f>'Chn in Age Group ID Givers'!$J$4:$J$10</c:f>
              <c:strCache>
                <c:ptCount val="7"/>
                <c:pt idx="0">
                  <c:v>18-34</c:v>
                </c:pt>
                <c:pt idx="1">
                  <c:v>35-44</c:v>
                </c:pt>
                <c:pt idx="2">
                  <c:v>45-54</c:v>
                </c:pt>
                <c:pt idx="3">
                  <c:v>55-64</c:v>
                </c:pt>
                <c:pt idx="4">
                  <c:v>65-74</c:v>
                </c:pt>
                <c:pt idx="5">
                  <c:v>74-84</c:v>
                </c:pt>
                <c:pt idx="6">
                  <c:v>84+</c:v>
                </c:pt>
              </c:strCache>
            </c:strRef>
          </c:cat>
          <c:val>
            <c:numRef>
              <c:f>'Chn in Age Group ID Givers'!$L$4:$L$10</c:f>
              <c:numCache>
                <c:formatCode>General</c:formatCode>
                <c:ptCount val="7"/>
                <c:pt idx="0">
                  <c:v>3</c:v>
                </c:pt>
                <c:pt idx="1">
                  <c:v>18</c:v>
                </c:pt>
                <c:pt idx="2">
                  <c:v>11</c:v>
                </c:pt>
                <c:pt idx="3">
                  <c:v>11</c:v>
                </c:pt>
                <c:pt idx="4">
                  <c:v>26</c:v>
                </c:pt>
                <c:pt idx="5">
                  <c:v>10</c:v>
                </c:pt>
                <c:pt idx="6">
                  <c:v>6</c:v>
                </c:pt>
              </c:numCache>
            </c:numRef>
          </c:val>
          <c:smooth val="0"/>
        </c:ser>
        <c:ser>
          <c:idx val="2"/>
          <c:order val="2"/>
          <c:tx>
            <c:strRef>
              <c:f>'Chn in Age Group ID Givers'!$M$3</c:f>
              <c:strCache>
                <c:ptCount val="1"/>
                <c:pt idx="0">
                  <c:v>2014</c:v>
                </c:pt>
              </c:strCache>
            </c:strRef>
          </c:tx>
          <c:spPr>
            <a:ln w="38100">
              <a:solidFill>
                <a:schemeClr val="bg1">
                  <a:lumMod val="85000"/>
                </a:schemeClr>
              </a:solidFill>
            </a:ln>
            <a:effectLst>
              <a:outerShdw blurRad="50800" dist="38100" dir="2700000" algn="tl" rotWithShape="0">
                <a:prstClr val="black">
                  <a:alpha val="40000"/>
                </a:prstClr>
              </a:outerShdw>
            </a:effectLst>
          </c:spPr>
          <c:marker>
            <c:spPr>
              <a:solidFill>
                <a:schemeClr val="bg1">
                  <a:lumMod val="85000"/>
                </a:schemeClr>
              </a:solidFill>
              <a:ln w="38100">
                <a:solidFill>
                  <a:schemeClr val="bg1">
                    <a:lumMod val="85000"/>
                  </a:schemeClr>
                </a:solidFill>
              </a:ln>
              <a:effectLst>
                <a:outerShdw blurRad="50800" dist="38100" dir="2700000" algn="tl" rotWithShape="0">
                  <a:prstClr val="black">
                    <a:alpha val="40000"/>
                  </a:prstClr>
                </a:outerShdw>
              </a:effectLst>
            </c:spPr>
          </c:marker>
          <c:cat>
            <c:strRef>
              <c:f>'Chn in Age Group ID Givers'!$J$4:$J$10</c:f>
              <c:strCache>
                <c:ptCount val="7"/>
                <c:pt idx="0">
                  <c:v>18-34</c:v>
                </c:pt>
                <c:pt idx="1">
                  <c:v>35-44</c:v>
                </c:pt>
                <c:pt idx="2">
                  <c:v>45-54</c:v>
                </c:pt>
                <c:pt idx="3">
                  <c:v>55-64</c:v>
                </c:pt>
                <c:pt idx="4">
                  <c:v>65-74</c:v>
                </c:pt>
                <c:pt idx="5">
                  <c:v>74-84</c:v>
                </c:pt>
                <c:pt idx="6">
                  <c:v>84+</c:v>
                </c:pt>
              </c:strCache>
            </c:strRef>
          </c:cat>
          <c:val>
            <c:numRef>
              <c:f>'Chn in Age Group ID Givers'!$M$4:$M$10</c:f>
              <c:numCache>
                <c:formatCode>General</c:formatCode>
                <c:ptCount val="7"/>
                <c:pt idx="0">
                  <c:v>5</c:v>
                </c:pt>
                <c:pt idx="1">
                  <c:v>12</c:v>
                </c:pt>
                <c:pt idx="2">
                  <c:v>15</c:v>
                </c:pt>
                <c:pt idx="3">
                  <c:v>10</c:v>
                </c:pt>
                <c:pt idx="4">
                  <c:v>25</c:v>
                </c:pt>
                <c:pt idx="5">
                  <c:v>5</c:v>
                </c:pt>
                <c:pt idx="6">
                  <c:v>4</c:v>
                </c:pt>
              </c:numCache>
            </c:numRef>
          </c:val>
          <c:smooth val="0"/>
        </c:ser>
        <c:dLbls>
          <c:showLegendKey val="0"/>
          <c:showVal val="0"/>
          <c:showCatName val="0"/>
          <c:showSerName val="0"/>
          <c:showPercent val="0"/>
          <c:showBubbleSize val="0"/>
        </c:dLbls>
        <c:marker val="1"/>
        <c:smooth val="0"/>
        <c:axId val="121971840"/>
        <c:axId val="121973760"/>
      </c:lineChart>
      <c:catAx>
        <c:axId val="121971840"/>
        <c:scaling>
          <c:orientation val="minMax"/>
        </c:scaling>
        <c:delete val="0"/>
        <c:axPos val="b"/>
        <c:majorTickMark val="out"/>
        <c:minorTickMark val="none"/>
        <c:tickLblPos val="nextTo"/>
        <c:txPr>
          <a:bodyPr rot="5400000" vert="horz"/>
          <a:lstStyle/>
          <a:p>
            <a:pPr>
              <a:defRPr/>
            </a:pPr>
            <a:endParaRPr lang="en-US"/>
          </a:p>
        </c:txPr>
        <c:crossAx val="121973760"/>
        <c:crosses val="autoZero"/>
        <c:auto val="1"/>
        <c:lblAlgn val="ctr"/>
        <c:lblOffset val="100"/>
        <c:noMultiLvlLbl val="0"/>
      </c:catAx>
      <c:valAx>
        <c:axId val="121973760"/>
        <c:scaling>
          <c:orientation val="minMax"/>
        </c:scaling>
        <c:delete val="0"/>
        <c:axPos val="l"/>
        <c:majorGridlines/>
        <c:numFmt formatCode="General" sourceLinked="1"/>
        <c:majorTickMark val="out"/>
        <c:minorTickMark val="none"/>
        <c:tickLblPos val="nextTo"/>
        <c:crossAx val="121971840"/>
        <c:crosses val="autoZero"/>
        <c:crossBetween val="between"/>
      </c:valAx>
    </c:plotArea>
    <c:legend>
      <c:legendPos val="r"/>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540529308836394"/>
          <c:y val="0.1411978710994459"/>
          <c:w val="0.61024825021872264"/>
          <c:h val="0.69426691455234757"/>
        </c:manualLayout>
      </c:layout>
      <c:barChart>
        <c:barDir val="col"/>
        <c:grouping val="clustered"/>
        <c:varyColors val="0"/>
        <c:ser>
          <c:idx val="0"/>
          <c:order val="0"/>
          <c:tx>
            <c:strRef>
              <c:f>'Local Finances'!$B$28</c:f>
              <c:strCache>
                <c:ptCount val="1"/>
                <c:pt idx="0">
                  <c:v>Revenue</c:v>
                </c:pt>
              </c:strCache>
            </c:strRef>
          </c:tx>
          <c:spPr>
            <a:effectLst>
              <a:outerShdw blurRad="50800" dist="38100" dir="2700000" algn="tl" rotWithShape="0">
                <a:prstClr val="black">
                  <a:alpha val="40000"/>
                </a:prstClr>
              </a:outerShdw>
            </a:effectLst>
          </c:spPr>
          <c:invertIfNegative val="0"/>
          <c:cat>
            <c:strRef>
              <c:f>'Local Finances'!$C$27:$J$27</c:f>
              <c:strCache>
                <c:ptCount val="8"/>
                <c:pt idx="0">
                  <c:v>2009</c:v>
                </c:pt>
                <c:pt idx="1">
                  <c:v>2010</c:v>
                </c:pt>
                <c:pt idx="2">
                  <c:v>2011</c:v>
                </c:pt>
                <c:pt idx="3">
                  <c:v>2012</c:v>
                </c:pt>
                <c:pt idx="4">
                  <c:v>2013</c:v>
                </c:pt>
                <c:pt idx="5">
                  <c:v>2014</c:v>
                </c:pt>
                <c:pt idx="6">
                  <c:v>2015</c:v>
                </c:pt>
                <c:pt idx="7">
                  <c:v>2016/Budget</c:v>
                </c:pt>
              </c:strCache>
            </c:strRef>
          </c:cat>
          <c:val>
            <c:numRef>
              <c:f>'Local Finances'!$C$28:$J$28</c:f>
              <c:numCache>
                <c:formatCode>_([$$-409]* #,##0.00_);_([$$-409]* \(#,##0.00\);_([$$-409]* "-"??_);_(@_)</c:formatCode>
                <c:ptCount val="8"/>
                <c:pt idx="0">
                  <c:v>69958</c:v>
                </c:pt>
                <c:pt idx="1">
                  <c:v>92458</c:v>
                </c:pt>
                <c:pt idx="2">
                  <c:v>92130</c:v>
                </c:pt>
                <c:pt idx="3">
                  <c:v>86558</c:v>
                </c:pt>
                <c:pt idx="4">
                  <c:v>89328</c:v>
                </c:pt>
                <c:pt idx="5">
                  <c:v>86864</c:v>
                </c:pt>
                <c:pt idx="6">
                  <c:v>102597</c:v>
                </c:pt>
                <c:pt idx="7">
                  <c:v>90525</c:v>
                </c:pt>
              </c:numCache>
            </c:numRef>
          </c:val>
        </c:ser>
        <c:ser>
          <c:idx val="1"/>
          <c:order val="1"/>
          <c:tx>
            <c:strRef>
              <c:f>'Local Finances'!$B$29</c:f>
              <c:strCache>
                <c:ptCount val="1"/>
                <c:pt idx="0">
                  <c:v>Expense</c:v>
                </c:pt>
              </c:strCache>
            </c:strRef>
          </c:tx>
          <c:spPr>
            <a:effectLst>
              <a:outerShdw blurRad="50800" dist="38100" dir="2700000" algn="tl" rotWithShape="0">
                <a:prstClr val="black">
                  <a:alpha val="40000"/>
                </a:prstClr>
              </a:outerShdw>
            </a:effectLst>
          </c:spPr>
          <c:invertIfNegative val="0"/>
          <c:cat>
            <c:strRef>
              <c:f>'Local Finances'!$C$27:$J$27</c:f>
              <c:strCache>
                <c:ptCount val="8"/>
                <c:pt idx="0">
                  <c:v>2009</c:v>
                </c:pt>
                <c:pt idx="1">
                  <c:v>2010</c:v>
                </c:pt>
                <c:pt idx="2">
                  <c:v>2011</c:v>
                </c:pt>
                <c:pt idx="3">
                  <c:v>2012</c:v>
                </c:pt>
                <c:pt idx="4">
                  <c:v>2013</c:v>
                </c:pt>
                <c:pt idx="5">
                  <c:v>2014</c:v>
                </c:pt>
                <c:pt idx="6">
                  <c:v>2015</c:v>
                </c:pt>
                <c:pt idx="7">
                  <c:v>2016/Budget</c:v>
                </c:pt>
              </c:strCache>
            </c:strRef>
          </c:cat>
          <c:val>
            <c:numRef>
              <c:f>'Local Finances'!$C$29:$J$29</c:f>
              <c:numCache>
                <c:formatCode>_([$$-409]* #,##0.00_);_([$$-409]* \(#,##0.00\);_([$$-409]* "-"??_);_(@_)</c:formatCode>
                <c:ptCount val="8"/>
                <c:pt idx="0">
                  <c:v>84324</c:v>
                </c:pt>
                <c:pt idx="1">
                  <c:v>77973</c:v>
                </c:pt>
                <c:pt idx="2">
                  <c:v>89534</c:v>
                </c:pt>
                <c:pt idx="3">
                  <c:v>85501</c:v>
                </c:pt>
                <c:pt idx="4">
                  <c:v>75653</c:v>
                </c:pt>
                <c:pt idx="5">
                  <c:v>85225</c:v>
                </c:pt>
                <c:pt idx="6">
                  <c:v>81821</c:v>
                </c:pt>
                <c:pt idx="7">
                  <c:v>117365</c:v>
                </c:pt>
              </c:numCache>
            </c:numRef>
          </c:val>
        </c:ser>
        <c:ser>
          <c:idx val="2"/>
          <c:order val="2"/>
          <c:tx>
            <c:strRef>
              <c:f>'Local Finances'!$B$30</c:f>
              <c:strCache>
                <c:ptCount val="1"/>
                <c:pt idx="0">
                  <c:v>Equity</c:v>
                </c:pt>
              </c:strCache>
            </c:strRef>
          </c:tx>
          <c:spPr>
            <a:solidFill>
              <a:schemeClr val="tx1"/>
            </a:solidFill>
            <a:effectLst>
              <a:outerShdw blurRad="50800" dist="38100" dir="2700000" algn="tl" rotWithShape="0">
                <a:prstClr val="black">
                  <a:alpha val="40000"/>
                </a:prstClr>
              </a:outerShdw>
            </a:effectLst>
          </c:spPr>
          <c:invertIfNegative val="0"/>
          <c:cat>
            <c:strRef>
              <c:f>'Local Finances'!$C$27:$J$27</c:f>
              <c:strCache>
                <c:ptCount val="8"/>
                <c:pt idx="0">
                  <c:v>2009</c:v>
                </c:pt>
                <c:pt idx="1">
                  <c:v>2010</c:v>
                </c:pt>
                <c:pt idx="2">
                  <c:v>2011</c:v>
                </c:pt>
                <c:pt idx="3">
                  <c:v>2012</c:v>
                </c:pt>
                <c:pt idx="4">
                  <c:v>2013</c:v>
                </c:pt>
                <c:pt idx="5">
                  <c:v>2014</c:v>
                </c:pt>
                <c:pt idx="6">
                  <c:v>2015</c:v>
                </c:pt>
                <c:pt idx="7">
                  <c:v>2016/Budget</c:v>
                </c:pt>
              </c:strCache>
            </c:strRef>
          </c:cat>
          <c:val>
            <c:numRef>
              <c:f>'Local Finances'!$C$30:$J$30</c:f>
              <c:numCache>
                <c:formatCode>_([$$-409]* #,##0.00_);_([$$-409]* \(#,##0.00\);_([$$-409]* "-"??_);_(@_)</c:formatCode>
                <c:ptCount val="8"/>
                <c:pt idx="0">
                  <c:v>-14366</c:v>
                </c:pt>
                <c:pt idx="1">
                  <c:v>14485</c:v>
                </c:pt>
                <c:pt idx="2">
                  <c:v>2596</c:v>
                </c:pt>
                <c:pt idx="3">
                  <c:v>1057</c:v>
                </c:pt>
                <c:pt idx="4">
                  <c:v>13675</c:v>
                </c:pt>
                <c:pt idx="5">
                  <c:v>1639</c:v>
                </c:pt>
                <c:pt idx="6">
                  <c:v>20776</c:v>
                </c:pt>
                <c:pt idx="7">
                  <c:v>-26840</c:v>
                </c:pt>
              </c:numCache>
            </c:numRef>
          </c:val>
        </c:ser>
        <c:dLbls>
          <c:showLegendKey val="0"/>
          <c:showVal val="0"/>
          <c:showCatName val="0"/>
          <c:showSerName val="0"/>
          <c:showPercent val="0"/>
          <c:showBubbleSize val="0"/>
        </c:dLbls>
        <c:gapWidth val="150"/>
        <c:axId val="122425728"/>
        <c:axId val="122427264"/>
      </c:barChart>
      <c:catAx>
        <c:axId val="122425728"/>
        <c:scaling>
          <c:orientation val="minMax"/>
        </c:scaling>
        <c:delete val="0"/>
        <c:axPos val="b"/>
        <c:majorTickMark val="none"/>
        <c:minorTickMark val="none"/>
        <c:tickLblPos val="nextTo"/>
        <c:txPr>
          <a:bodyPr rot="5400000" vert="horz" anchor="b" anchorCtr="1"/>
          <a:lstStyle/>
          <a:p>
            <a:pPr>
              <a:defRPr/>
            </a:pPr>
            <a:endParaRPr lang="en-US"/>
          </a:p>
        </c:txPr>
        <c:crossAx val="122427264"/>
        <c:crosses val="autoZero"/>
        <c:auto val="1"/>
        <c:lblAlgn val="ctr"/>
        <c:lblOffset val="100"/>
        <c:noMultiLvlLbl val="0"/>
      </c:catAx>
      <c:valAx>
        <c:axId val="122427264"/>
        <c:scaling>
          <c:orientation val="minMax"/>
        </c:scaling>
        <c:delete val="0"/>
        <c:axPos val="l"/>
        <c:majorGridlines>
          <c:spPr>
            <a:ln>
              <a:noFill/>
            </a:ln>
          </c:spPr>
        </c:majorGridlines>
        <c:numFmt formatCode="_([$$-409]* #,##0.00_);_([$$-409]* \(#,##0.00\);_([$$-409]* &quot;-&quot;??_);_(@_)" sourceLinked="1"/>
        <c:majorTickMark val="none"/>
        <c:minorTickMark val="none"/>
        <c:tickLblPos val="nextTo"/>
        <c:crossAx val="122425728"/>
        <c:crosses val="autoZero"/>
        <c:crossBetween val="between"/>
      </c:valAx>
    </c:plotArea>
    <c:legend>
      <c:legendPos val="r"/>
      <c:overlay val="0"/>
    </c:legend>
    <c:plotVisOnly val="1"/>
    <c:dispBlanksAs val="zero"/>
    <c:showDLblsOverMax val="0"/>
  </c:chart>
  <c:spPr>
    <a:effectLst>
      <a:outerShdw blurRad="50800" dist="38100" dir="2700000" algn="tl" rotWithShape="0">
        <a:prstClr val="black">
          <a:alpha val="40000"/>
        </a:prst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'Local Finances'!$B$37</c:f>
              <c:strCache>
                <c:ptCount val="1"/>
                <c:pt idx="0">
                  <c:v>Revenue</c:v>
                </c:pt>
              </c:strCache>
            </c:strRef>
          </c:tx>
          <c:spPr>
            <a:effectLst>
              <a:outerShdw blurRad="50800" dist="38100" dir="2700000" algn="tl" rotWithShape="0">
                <a:prstClr val="black">
                  <a:alpha val="40000"/>
                </a:prstClr>
              </a:outerShdw>
            </a:effectLst>
          </c:spPr>
          <c:invertIfNegative val="0"/>
          <c:cat>
            <c:numRef>
              <c:f>'Local Finances'!$C$36:$J$36</c:f>
              <c:numCache>
                <c:formatCode>General</c:formatCode>
                <c:ptCount val="8"/>
                <c:pt idx="0">
                  <c:v>2009</c:v>
                </c:pt>
                <c:pt idx="1">
                  <c:v>2010</c:v>
                </c:pt>
                <c:pt idx="2">
                  <c:v>2011</c:v>
                </c:pt>
                <c:pt idx="3">
                  <c:v>2012</c:v>
                </c:pt>
                <c:pt idx="4">
                  <c:v>2013</c:v>
                </c:pt>
                <c:pt idx="5">
                  <c:v>2014</c:v>
                </c:pt>
                <c:pt idx="6">
                  <c:v>2015</c:v>
                </c:pt>
              </c:numCache>
            </c:numRef>
          </c:cat>
          <c:val>
            <c:numRef>
              <c:f>'Local Finances'!$C$37:$J$37</c:f>
              <c:numCache>
                <c:formatCode>_([$$-409]* #,##0.00_);_([$$-409]* \(#,##0.00\);_([$$-409]* "-"??_);_(@_)</c:formatCode>
                <c:ptCount val="8"/>
                <c:pt idx="0">
                  <c:v>31197</c:v>
                </c:pt>
                <c:pt idx="1">
                  <c:v>32334</c:v>
                </c:pt>
                <c:pt idx="2">
                  <c:v>30012</c:v>
                </c:pt>
                <c:pt idx="3">
                  <c:v>32616</c:v>
                </c:pt>
                <c:pt idx="4">
                  <c:v>32745</c:v>
                </c:pt>
                <c:pt idx="5">
                  <c:v>33844</c:v>
                </c:pt>
                <c:pt idx="6">
                  <c:v>31064</c:v>
                </c:pt>
              </c:numCache>
            </c:numRef>
          </c:val>
        </c:ser>
        <c:ser>
          <c:idx val="1"/>
          <c:order val="1"/>
          <c:tx>
            <c:strRef>
              <c:f>'Local Finances'!$B$38</c:f>
              <c:strCache>
                <c:ptCount val="1"/>
                <c:pt idx="0">
                  <c:v>Expense</c:v>
                </c:pt>
              </c:strCache>
            </c:strRef>
          </c:tx>
          <c:spPr>
            <a:effectLst>
              <a:outerShdw blurRad="50800" dist="38100" dir="2700000" algn="tl" rotWithShape="0">
                <a:prstClr val="black">
                  <a:alpha val="40000"/>
                </a:prstClr>
              </a:outerShdw>
            </a:effectLst>
          </c:spPr>
          <c:invertIfNegative val="0"/>
          <c:cat>
            <c:numRef>
              <c:f>'Local Finances'!$C$36:$J$36</c:f>
              <c:numCache>
                <c:formatCode>General</c:formatCode>
                <c:ptCount val="8"/>
                <c:pt idx="0">
                  <c:v>2009</c:v>
                </c:pt>
                <c:pt idx="1">
                  <c:v>2010</c:v>
                </c:pt>
                <c:pt idx="2">
                  <c:v>2011</c:v>
                </c:pt>
                <c:pt idx="3">
                  <c:v>2012</c:v>
                </c:pt>
                <c:pt idx="4">
                  <c:v>2013</c:v>
                </c:pt>
                <c:pt idx="5">
                  <c:v>2014</c:v>
                </c:pt>
                <c:pt idx="6">
                  <c:v>2015</c:v>
                </c:pt>
              </c:numCache>
            </c:numRef>
          </c:cat>
          <c:val>
            <c:numRef>
              <c:f>'Local Finances'!$C$38:$J$38</c:f>
              <c:numCache>
                <c:formatCode>_([$$-409]* #,##0.00_);_([$$-409]* \(#,##0.00\);_([$$-409]* "-"??_);_(@_)</c:formatCode>
                <c:ptCount val="8"/>
                <c:pt idx="0">
                  <c:v>29449</c:v>
                </c:pt>
                <c:pt idx="1">
                  <c:v>26469</c:v>
                </c:pt>
                <c:pt idx="2">
                  <c:v>32230</c:v>
                </c:pt>
                <c:pt idx="3">
                  <c:v>31730</c:v>
                </c:pt>
                <c:pt idx="4">
                  <c:v>26784</c:v>
                </c:pt>
                <c:pt idx="5">
                  <c:v>28222</c:v>
                </c:pt>
                <c:pt idx="6">
                  <c:v>27910</c:v>
                </c:pt>
              </c:numCache>
            </c:numRef>
          </c:val>
        </c:ser>
        <c:ser>
          <c:idx val="2"/>
          <c:order val="2"/>
          <c:tx>
            <c:strRef>
              <c:f>'Local Finances'!$B$39</c:f>
              <c:strCache>
                <c:ptCount val="1"/>
                <c:pt idx="0">
                  <c:v>Equity</c:v>
                </c:pt>
              </c:strCache>
            </c:strRef>
          </c:tx>
          <c:spPr>
            <a:solidFill>
              <a:schemeClr val="tx1"/>
            </a:solidFill>
            <a:effectLst>
              <a:outerShdw blurRad="50800" dist="38100" dir="2700000" algn="tl" rotWithShape="0">
                <a:prstClr val="black">
                  <a:alpha val="40000"/>
                </a:prstClr>
              </a:outerShdw>
            </a:effectLst>
          </c:spPr>
          <c:invertIfNegative val="0"/>
          <c:cat>
            <c:numRef>
              <c:f>'Local Finances'!$C$36:$J$36</c:f>
              <c:numCache>
                <c:formatCode>General</c:formatCode>
                <c:ptCount val="8"/>
                <c:pt idx="0">
                  <c:v>2009</c:v>
                </c:pt>
                <c:pt idx="1">
                  <c:v>2010</c:v>
                </c:pt>
                <c:pt idx="2">
                  <c:v>2011</c:v>
                </c:pt>
                <c:pt idx="3">
                  <c:v>2012</c:v>
                </c:pt>
                <c:pt idx="4">
                  <c:v>2013</c:v>
                </c:pt>
                <c:pt idx="5">
                  <c:v>2014</c:v>
                </c:pt>
                <c:pt idx="6">
                  <c:v>2015</c:v>
                </c:pt>
              </c:numCache>
            </c:numRef>
          </c:cat>
          <c:val>
            <c:numRef>
              <c:f>'Local Finances'!$C$39:$J$39</c:f>
              <c:numCache>
                <c:formatCode>_([$$-409]* #,##0.00_);_([$$-409]* \(#,##0.00\);_([$$-409]* "-"??_);_(@_)</c:formatCode>
                <c:ptCount val="8"/>
                <c:pt idx="0">
                  <c:v>1748</c:v>
                </c:pt>
                <c:pt idx="1">
                  <c:v>5865</c:v>
                </c:pt>
                <c:pt idx="2">
                  <c:v>-2218</c:v>
                </c:pt>
                <c:pt idx="3">
                  <c:v>886</c:v>
                </c:pt>
                <c:pt idx="4">
                  <c:v>5961</c:v>
                </c:pt>
                <c:pt idx="5">
                  <c:v>5622</c:v>
                </c:pt>
                <c:pt idx="6">
                  <c:v>3154</c:v>
                </c:pt>
              </c:numCache>
            </c:numRef>
          </c:val>
        </c:ser>
        <c:dLbls>
          <c:showLegendKey val="0"/>
          <c:showVal val="0"/>
          <c:showCatName val="0"/>
          <c:showSerName val="0"/>
          <c:showPercent val="0"/>
          <c:showBubbleSize val="0"/>
        </c:dLbls>
        <c:gapWidth val="150"/>
        <c:axId val="122448896"/>
        <c:axId val="122831616"/>
      </c:barChart>
      <c:catAx>
        <c:axId val="122448896"/>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122831616"/>
        <c:crosses val="autoZero"/>
        <c:auto val="1"/>
        <c:lblAlgn val="ctr"/>
        <c:lblOffset val="100"/>
        <c:noMultiLvlLbl val="0"/>
      </c:catAx>
      <c:valAx>
        <c:axId val="122831616"/>
        <c:scaling>
          <c:orientation val="minMax"/>
        </c:scaling>
        <c:delete val="0"/>
        <c:axPos val="l"/>
        <c:majorGridlines>
          <c:spPr>
            <a:ln>
              <a:noFill/>
            </a:ln>
          </c:spPr>
        </c:majorGridlines>
        <c:numFmt formatCode="_([$$-409]* #,##0.00_);_([$$-409]* \(#,##0.00\);_([$$-409]* &quot;-&quot;??_);_(@_)" sourceLinked="1"/>
        <c:majorTickMark val="none"/>
        <c:minorTickMark val="none"/>
        <c:tickLblPos val="nextTo"/>
        <c:crossAx val="122448896"/>
        <c:crosses val="autoZero"/>
        <c:crossBetween val="between"/>
      </c:valAx>
    </c:plotArea>
    <c:legend>
      <c:legendPos val="r"/>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21F9-4005-472D-95A7-FC463F54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10</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Rhonda</cp:lastModifiedBy>
  <cp:revision>23</cp:revision>
  <cp:lastPrinted>2016-02-15T17:39:00Z</cp:lastPrinted>
  <dcterms:created xsi:type="dcterms:W3CDTF">2016-02-08T16:55:00Z</dcterms:created>
  <dcterms:modified xsi:type="dcterms:W3CDTF">2016-02-15T17:56:00Z</dcterms:modified>
</cp:coreProperties>
</file>